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71484A" w14:textId="2685CC4D" w:rsidR="00E90E49" w:rsidRPr="00C37741" w:rsidRDefault="00E90E49" w:rsidP="00E35559">
      <w:pPr>
        <w:pStyle w:val="3GPPHeader"/>
        <w:spacing w:after="60"/>
        <w:rPr>
          <w:sz w:val="32"/>
          <w:szCs w:val="32"/>
        </w:rPr>
      </w:pPr>
      <w:r w:rsidRPr="00CE0424">
        <w:t>3GPP TSG-RAN WG</w:t>
      </w:r>
      <w:r w:rsidR="00F20F5C">
        <w:t>2</w:t>
      </w:r>
      <w:r w:rsidRPr="00CE0424">
        <w:t xml:space="preserve"> #</w:t>
      </w:r>
      <w:r w:rsidR="00F20F5C">
        <w:t>1</w:t>
      </w:r>
      <w:r w:rsidR="00C268E6">
        <w:t>1</w:t>
      </w:r>
      <w:r w:rsidR="00D82491">
        <w:t>3</w:t>
      </w:r>
      <w:r w:rsidR="00F20F5C">
        <w:t>e</w:t>
      </w:r>
      <w:r w:rsidRPr="00CE0424">
        <w:tab/>
      </w:r>
      <w:r w:rsidRPr="00C05D9B">
        <w:rPr>
          <w:sz w:val="32"/>
          <w:szCs w:val="32"/>
        </w:rPr>
        <w:t xml:space="preserve"> </w:t>
      </w:r>
      <w:r w:rsidR="00207A08" w:rsidRPr="00C05D9B">
        <w:rPr>
          <w:sz w:val="32"/>
          <w:szCs w:val="32"/>
          <w:lang w:val="en-US"/>
        </w:rPr>
        <w:t>R2-2101175</w:t>
      </w:r>
    </w:p>
    <w:p w14:paraId="0CEF36EC" w14:textId="532D394B" w:rsidR="00E90E49" w:rsidRPr="00C37741" w:rsidRDefault="00C268E6" w:rsidP="00311702">
      <w:pPr>
        <w:pStyle w:val="3GPPHeader"/>
      </w:pPr>
      <w:r w:rsidRPr="00C37741">
        <w:t xml:space="preserve">Electronic meeting, </w:t>
      </w:r>
      <w:r w:rsidR="0006254E">
        <w:rPr>
          <w:rFonts w:eastAsia="SimSun" w:cs="Arial"/>
          <w:lang w:val="de-DE"/>
        </w:rPr>
        <w:t>Jan 25 – Feb 5, 2021</w:t>
      </w:r>
    </w:p>
    <w:p w14:paraId="501AAEC3" w14:textId="77777777" w:rsidR="00E90E49" w:rsidRPr="00C37741" w:rsidRDefault="00E90E49" w:rsidP="00357380">
      <w:pPr>
        <w:pStyle w:val="3GPPHeader"/>
      </w:pPr>
    </w:p>
    <w:p w14:paraId="2AAF3D11" w14:textId="7E8FE3E6" w:rsidR="00E90E49" w:rsidRPr="00C37741" w:rsidRDefault="00E90E49" w:rsidP="00311702">
      <w:pPr>
        <w:pStyle w:val="3GPPHeader"/>
        <w:rPr>
          <w:sz w:val="22"/>
          <w:szCs w:val="22"/>
          <w:lang w:val="en-US"/>
        </w:rPr>
      </w:pPr>
      <w:r w:rsidRPr="00C37741">
        <w:rPr>
          <w:sz w:val="22"/>
          <w:szCs w:val="22"/>
          <w:lang w:val="en-US"/>
        </w:rPr>
        <w:t>Agenda Item:</w:t>
      </w:r>
      <w:r w:rsidRPr="00C37741">
        <w:rPr>
          <w:sz w:val="22"/>
          <w:szCs w:val="22"/>
          <w:lang w:val="en-US"/>
        </w:rPr>
        <w:tab/>
      </w:r>
      <w:r w:rsidR="003628EE" w:rsidRPr="00C05D9B">
        <w:t>8.6.5</w:t>
      </w:r>
    </w:p>
    <w:p w14:paraId="1FC680EE" w14:textId="77777777" w:rsidR="00E90E49" w:rsidRPr="00C37741" w:rsidRDefault="003D3C45" w:rsidP="00F64C2B">
      <w:pPr>
        <w:pStyle w:val="3GPPHeader"/>
        <w:rPr>
          <w:sz w:val="22"/>
          <w:szCs w:val="22"/>
        </w:rPr>
      </w:pPr>
      <w:r w:rsidRPr="00C37741">
        <w:rPr>
          <w:sz w:val="22"/>
          <w:szCs w:val="22"/>
        </w:rPr>
        <w:t>Source:</w:t>
      </w:r>
      <w:r w:rsidR="00E90E49" w:rsidRPr="00C37741">
        <w:rPr>
          <w:sz w:val="22"/>
          <w:szCs w:val="22"/>
        </w:rPr>
        <w:tab/>
      </w:r>
      <w:r w:rsidR="00F64C2B" w:rsidRPr="00C37741">
        <w:rPr>
          <w:sz w:val="22"/>
          <w:szCs w:val="22"/>
        </w:rPr>
        <w:t>Ericsson</w:t>
      </w:r>
    </w:p>
    <w:p w14:paraId="1D4CF671" w14:textId="05CC2FEE" w:rsidR="00E90E49" w:rsidRPr="00C37741" w:rsidRDefault="003D3C45" w:rsidP="00311702">
      <w:pPr>
        <w:pStyle w:val="3GPPHeader"/>
        <w:rPr>
          <w:sz w:val="22"/>
          <w:szCs w:val="22"/>
        </w:rPr>
      </w:pPr>
      <w:r w:rsidRPr="00C37741">
        <w:rPr>
          <w:sz w:val="22"/>
          <w:szCs w:val="22"/>
        </w:rPr>
        <w:t>Title:</w:t>
      </w:r>
      <w:r w:rsidR="00E90E49" w:rsidRPr="00C37741">
        <w:rPr>
          <w:sz w:val="22"/>
          <w:szCs w:val="22"/>
        </w:rPr>
        <w:tab/>
      </w:r>
      <w:r w:rsidR="00A97C63" w:rsidRPr="00C05D9B">
        <w:rPr>
          <w:sz w:val="22"/>
          <w:szCs w:val="22"/>
        </w:rPr>
        <w:t xml:space="preserve">Details of </w:t>
      </w:r>
      <w:r w:rsidR="009E381A" w:rsidRPr="00C05D9B">
        <w:rPr>
          <w:sz w:val="22"/>
          <w:szCs w:val="22"/>
        </w:rPr>
        <w:t xml:space="preserve">CG </w:t>
      </w:r>
      <w:r w:rsidR="00A97C63" w:rsidRPr="00C05D9B">
        <w:rPr>
          <w:sz w:val="22"/>
          <w:szCs w:val="22"/>
        </w:rPr>
        <w:t>based SDT</w:t>
      </w:r>
    </w:p>
    <w:p w14:paraId="390A408F" w14:textId="7B28E2EB" w:rsidR="00E90E49" w:rsidRPr="00C37741" w:rsidRDefault="00E90E49" w:rsidP="00C37741">
      <w:pPr>
        <w:pStyle w:val="3GPPHeader"/>
        <w:rPr>
          <w:sz w:val="22"/>
          <w:szCs w:val="22"/>
        </w:rPr>
      </w:pPr>
      <w:r w:rsidRPr="00C37741">
        <w:rPr>
          <w:sz w:val="22"/>
          <w:szCs w:val="22"/>
        </w:rPr>
        <w:t>Document for:</w:t>
      </w:r>
      <w:r w:rsidRPr="00C37741">
        <w:rPr>
          <w:sz w:val="22"/>
          <w:szCs w:val="22"/>
        </w:rPr>
        <w:tab/>
        <w:t>Discussion, Decision</w:t>
      </w:r>
    </w:p>
    <w:p w14:paraId="595B8397" w14:textId="77777777" w:rsidR="00E90E49" w:rsidRPr="00CE0424" w:rsidRDefault="00230D18" w:rsidP="00CE0424">
      <w:pPr>
        <w:pStyle w:val="Heading1"/>
      </w:pPr>
      <w:r w:rsidRPr="00C37741">
        <w:t>1</w:t>
      </w:r>
      <w:r w:rsidRPr="00C37741">
        <w:tab/>
      </w:r>
      <w:r w:rsidR="00E90E49" w:rsidRPr="00C37741">
        <w:t>Introduction</w:t>
      </w:r>
    </w:p>
    <w:p w14:paraId="7FDDC80A" w14:textId="3573D83F" w:rsidR="007D131A" w:rsidRDefault="007D131A" w:rsidP="000D00E4">
      <w:pPr>
        <w:rPr>
          <w:noProof/>
          <w:lang w:eastAsia="ko-KR"/>
        </w:rPr>
      </w:pPr>
      <w:r w:rsidRPr="007D131A">
        <w:rPr>
          <w:noProof/>
          <w:lang w:eastAsia="ko-KR"/>
        </w:rPr>
        <w:t>A WI on small data transmission from RRC_INACTIVE was approved [1]. Based on the WI</w:t>
      </w:r>
      <w:r w:rsidRPr="007D131A">
        <w:rPr>
          <w:rFonts w:hint="eastAsia"/>
          <w:noProof/>
          <w:lang w:eastAsia="ko-KR"/>
        </w:rPr>
        <w:t>,</w:t>
      </w:r>
      <w:r w:rsidRPr="007D131A">
        <w:rPr>
          <w:noProof/>
          <w:lang w:eastAsia="ko-KR"/>
        </w:rPr>
        <w:t xml:space="preserve"> RAN2 needs to specify the general procedures for both RACH-based schemes and CG-based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131A" w:rsidRPr="003E3027" w14:paraId="32AB02E0" w14:textId="77777777" w:rsidTr="007D131A">
        <w:trPr>
          <w:jc w:val="center"/>
        </w:trPr>
        <w:tc>
          <w:tcPr>
            <w:tcW w:w="9629" w:type="dxa"/>
            <w:shd w:val="clear" w:color="auto" w:fill="auto"/>
          </w:tcPr>
          <w:p w14:paraId="0EE2B8C5" w14:textId="77777777" w:rsidR="007D131A" w:rsidRPr="000D00E4" w:rsidRDefault="007D131A" w:rsidP="000D00E4">
            <w:pPr>
              <w:rPr>
                <w:noProof/>
                <w:lang w:eastAsia="ko-KR"/>
              </w:rPr>
            </w:pPr>
            <w:r w:rsidRPr="000D00E4">
              <w:rPr>
                <w:noProof/>
                <w:lang w:eastAsia="ko-KR"/>
              </w:rPr>
              <w:t>For the RRC_INACTIVE state:</w:t>
            </w:r>
          </w:p>
          <w:p w14:paraId="2AD70A26" w14:textId="77777777" w:rsidR="007D131A" w:rsidRPr="000D00E4" w:rsidRDefault="007D131A" w:rsidP="000D00E4">
            <w:pPr>
              <w:rPr>
                <w:noProof/>
                <w:lang w:eastAsia="ko-KR"/>
              </w:rPr>
            </w:pPr>
            <w:r w:rsidRPr="000D00E4">
              <w:rPr>
                <w:noProof/>
                <w:lang w:eastAsia="ko-KR"/>
              </w:rPr>
              <w:t>UL small data transmissions for RACH-based schemes (i.e. 2-step and 4-step RACH):</w:t>
            </w:r>
          </w:p>
          <w:p w14:paraId="16AD3092" w14:textId="77777777" w:rsidR="007D131A" w:rsidRPr="000D00E4" w:rsidRDefault="007D131A" w:rsidP="000D00E4">
            <w:pPr>
              <w:rPr>
                <w:noProof/>
                <w:lang w:eastAsia="ko-KR"/>
              </w:rPr>
            </w:pPr>
            <w:bookmarkStart w:id="0" w:name="_Hlk26863976"/>
            <w:r w:rsidRPr="000D00E4">
              <w:rPr>
                <w:noProof/>
                <w:lang w:eastAsia="ko-KR"/>
              </w:rPr>
              <w:t xml:space="preserve">General procedure to enable UP data transmission for small data packets from INACTIVE state (e.g. using MSGA or MSG3) </w:t>
            </w:r>
            <w:bookmarkEnd w:id="0"/>
            <w:r w:rsidRPr="000D00E4">
              <w:rPr>
                <w:noProof/>
                <w:lang w:eastAsia="ko-KR"/>
              </w:rPr>
              <w:t>[RAN2]</w:t>
            </w:r>
          </w:p>
          <w:p w14:paraId="0D2CFF93" w14:textId="77777777" w:rsidR="007D131A" w:rsidRPr="000D00E4" w:rsidRDefault="007D131A" w:rsidP="000D00E4">
            <w:pPr>
              <w:rPr>
                <w:noProof/>
                <w:lang w:eastAsia="ko-KR"/>
              </w:rPr>
            </w:pPr>
            <w:r w:rsidRPr="000D00E4">
              <w:rPr>
                <w:noProof/>
                <w:lang w:eastAsia="ko-KR"/>
              </w:rPr>
              <w:t xml:space="preserve">Enable flexible payload sizes larger than the Rel-16 CCCH message size that is possible currently for INACTIVE state for MSGA and MSG3 to support UP data transmission in UL (actual payload size can be up to network configuration) [RAN2] </w:t>
            </w:r>
          </w:p>
          <w:p w14:paraId="1255562A" w14:textId="77777777" w:rsidR="007D131A" w:rsidRPr="000D00E4" w:rsidRDefault="007D131A" w:rsidP="000D00E4">
            <w:pPr>
              <w:rPr>
                <w:noProof/>
                <w:lang w:eastAsia="ko-KR"/>
              </w:rPr>
            </w:pPr>
            <w:r w:rsidRPr="000D00E4">
              <w:rPr>
                <w:noProof/>
                <w:lang w:eastAsia="ko-KR"/>
              </w:rPr>
              <w:t>Context fetch and data forwarding (with and without anchor relocation) in INACTIVE state for RACH-based solutions [RAN2, RAN3]</w:t>
            </w:r>
          </w:p>
          <w:p w14:paraId="6ED73FBA" w14:textId="77777777" w:rsidR="007D131A" w:rsidRPr="000D00E4" w:rsidRDefault="007D131A" w:rsidP="000D00E4">
            <w:pPr>
              <w:rPr>
                <w:noProof/>
                <w:lang w:eastAsia="ko-KR"/>
              </w:rPr>
            </w:pPr>
            <w:r w:rsidRPr="000D00E4">
              <w:rPr>
                <w:noProof/>
                <w:lang w:eastAsia="ko-KR"/>
              </w:rPr>
              <w:t>Note 1: The security aspects of the above solutions should be checked with SA3</w:t>
            </w:r>
          </w:p>
          <w:p w14:paraId="52B4C4CB" w14:textId="77777777" w:rsidR="007D131A" w:rsidRPr="000D00E4" w:rsidRDefault="007D131A" w:rsidP="000D00E4">
            <w:pPr>
              <w:rPr>
                <w:noProof/>
                <w:lang w:eastAsia="ko-KR"/>
              </w:rPr>
            </w:pPr>
            <w:r w:rsidRPr="000D00E4">
              <w:rPr>
                <w:noProof/>
                <w:lang w:eastAsia="ko-KR"/>
              </w:rPr>
              <w:t>Transmission of UL data on pre-configured PUSCH resources (i.e. reusing the configured grant type 1) – when TA is valid</w:t>
            </w:r>
          </w:p>
          <w:p w14:paraId="7BEE9442" w14:textId="77777777" w:rsidR="007D131A" w:rsidRPr="000D00E4" w:rsidRDefault="007D131A" w:rsidP="000D00E4">
            <w:pPr>
              <w:rPr>
                <w:noProof/>
                <w:lang w:eastAsia="ko-KR"/>
              </w:rPr>
            </w:pPr>
            <w:r w:rsidRPr="000D00E4">
              <w:rPr>
                <w:noProof/>
                <w:lang w:eastAsia="ko-KR"/>
              </w:rPr>
              <w:t>General procedure for small data transmission over configured grant type 1 resources from INACTIVE state [RAN2]</w:t>
            </w:r>
          </w:p>
          <w:p w14:paraId="0ABA9321" w14:textId="77777777" w:rsidR="007D131A" w:rsidRPr="000D00E4" w:rsidRDefault="007D131A" w:rsidP="000D00E4">
            <w:pPr>
              <w:rPr>
                <w:noProof/>
                <w:lang w:eastAsia="ko-KR"/>
              </w:rPr>
            </w:pPr>
            <w:r w:rsidRPr="000D00E4">
              <w:rPr>
                <w:noProof/>
                <w:lang w:eastAsia="ko-KR"/>
              </w:rPr>
              <w:t>Configuration of the configured grant type1 resources for small data transmission in UL for INACTIVE state [RAN2]</w:t>
            </w:r>
          </w:p>
        </w:tc>
      </w:tr>
    </w:tbl>
    <w:p w14:paraId="3B59377E" w14:textId="77777777" w:rsidR="00D82491" w:rsidRDefault="00D82491" w:rsidP="000D00E4">
      <w:pPr>
        <w:rPr>
          <w:noProof/>
          <w:lang w:eastAsia="ko-KR"/>
        </w:rPr>
      </w:pPr>
    </w:p>
    <w:p w14:paraId="383BB204" w14:textId="0DF64246" w:rsidR="007D131A" w:rsidRDefault="00D82491" w:rsidP="000D00E4">
      <w:pPr>
        <w:rPr>
          <w:noProof/>
          <w:lang w:eastAsia="ko-KR"/>
        </w:rPr>
      </w:pPr>
      <w:r>
        <w:rPr>
          <w:noProof/>
          <w:lang w:eastAsia="ko-KR"/>
        </w:rPr>
        <w:t>In addition to this, several agreements have been reached in RAN2#112e as shown below. Of these agreements, several are relevant for configured grants.</w:t>
      </w:r>
    </w:p>
    <w:p w14:paraId="0FEB4B77" w14:textId="77777777" w:rsidR="00D82491" w:rsidRPr="00D82491" w:rsidRDefault="00D82491" w:rsidP="00D82491">
      <w:pPr>
        <w:tabs>
          <w:tab w:val="left" w:pos="1622"/>
        </w:tabs>
        <w:overflowPunct/>
        <w:autoSpaceDE/>
        <w:autoSpaceDN/>
        <w:adjustRightInd/>
        <w:spacing w:after="0"/>
        <w:ind w:left="1622" w:hanging="363"/>
        <w:textAlignment w:val="auto"/>
        <w:rPr>
          <w:rFonts w:ascii="Arial" w:eastAsia="MS Mincho" w:hAnsi="Arial"/>
          <w:szCs w:val="24"/>
          <w:lang w:eastAsia="en-GB"/>
        </w:rPr>
      </w:pPr>
    </w:p>
    <w:tbl>
      <w:tblPr>
        <w:tblStyle w:val="TableGrid1"/>
        <w:tblW w:w="0" w:type="auto"/>
        <w:tblInd w:w="1083" w:type="dxa"/>
        <w:tblLook w:val="04A0" w:firstRow="1" w:lastRow="0" w:firstColumn="1" w:lastColumn="0" w:noHBand="0" w:noVBand="1"/>
      </w:tblPr>
      <w:tblGrid>
        <w:gridCol w:w="8546"/>
      </w:tblGrid>
      <w:tr w:rsidR="00D82491" w:rsidRPr="00D82491" w14:paraId="0318307A" w14:textId="77777777" w:rsidTr="00D037DA">
        <w:tc>
          <w:tcPr>
            <w:tcW w:w="10194" w:type="dxa"/>
          </w:tcPr>
          <w:p w14:paraId="50BAD125" w14:textId="77777777" w:rsidR="00D82491" w:rsidRPr="00D82491" w:rsidRDefault="00D82491" w:rsidP="00D82491">
            <w:pPr>
              <w:tabs>
                <w:tab w:val="left" w:pos="1622"/>
              </w:tabs>
              <w:overflowPunct/>
              <w:autoSpaceDE/>
              <w:autoSpaceDN/>
              <w:adjustRightInd/>
              <w:spacing w:after="0"/>
              <w:ind w:left="363" w:hanging="363"/>
              <w:textAlignment w:val="auto"/>
              <w:rPr>
                <w:rFonts w:ascii="Arial" w:eastAsia="MS Mincho" w:hAnsi="Arial"/>
                <w:b/>
                <w:bCs/>
                <w:szCs w:val="24"/>
                <w:lang w:eastAsia="en-GB"/>
              </w:rPr>
            </w:pPr>
            <w:r w:rsidRPr="00D82491">
              <w:rPr>
                <w:rFonts w:ascii="Arial" w:eastAsia="MS Mincho" w:hAnsi="Arial"/>
                <w:b/>
                <w:bCs/>
                <w:szCs w:val="24"/>
                <w:lang w:eastAsia="en-GB"/>
              </w:rPr>
              <w:t>Agreements:</w:t>
            </w:r>
          </w:p>
          <w:p w14:paraId="29F66C22" w14:textId="77777777" w:rsidR="00D82491" w:rsidRPr="00D82491" w:rsidRDefault="00D82491" w:rsidP="00D82491">
            <w:pPr>
              <w:tabs>
                <w:tab w:val="left" w:pos="1622"/>
              </w:tabs>
              <w:overflowPunct/>
              <w:autoSpaceDE/>
              <w:autoSpaceDN/>
              <w:adjustRightInd/>
              <w:spacing w:after="0"/>
              <w:ind w:left="363" w:hanging="363"/>
              <w:textAlignment w:val="auto"/>
              <w:rPr>
                <w:rFonts w:ascii="Arial" w:eastAsia="MS Mincho" w:hAnsi="Arial"/>
                <w:szCs w:val="24"/>
                <w:lang w:eastAsia="en-GB"/>
              </w:rPr>
            </w:pPr>
            <w:r w:rsidRPr="00D82491">
              <w:rPr>
                <w:rFonts w:ascii="Arial" w:eastAsia="MS Mincho" w:hAnsi="Arial"/>
                <w:szCs w:val="24"/>
                <w:lang w:eastAsia="en-GB"/>
              </w:rPr>
              <w:t xml:space="preserve">1   For small data, for RACH </w:t>
            </w:r>
            <w:r w:rsidRPr="00D82491">
              <w:rPr>
                <w:rFonts w:ascii="Arial" w:eastAsia="MS Mincho" w:hAnsi="Arial"/>
                <w:color w:val="000000" w:themeColor="text1"/>
                <w:szCs w:val="24"/>
                <w:lang w:eastAsia="en-GB"/>
              </w:rPr>
              <w:t xml:space="preserve">and CG </w:t>
            </w:r>
            <w:r w:rsidRPr="00D82491">
              <w:rPr>
                <w:rFonts w:ascii="Arial" w:eastAsia="MS Mincho" w:hAnsi="Arial"/>
                <w:szCs w:val="24"/>
                <w:lang w:eastAsia="en-GB"/>
              </w:rPr>
              <w:t xml:space="preserve">based solutions when the UE receives RRC release with Suspend config, the UE at least performs the following actions (i.e. same action as in legacy): </w:t>
            </w:r>
          </w:p>
          <w:p w14:paraId="6D9F1935" w14:textId="77777777" w:rsidR="00D82491" w:rsidRPr="00D82491" w:rsidRDefault="00D82491" w:rsidP="00D82491">
            <w:pPr>
              <w:tabs>
                <w:tab w:val="left" w:pos="1622"/>
              </w:tabs>
              <w:overflowPunct/>
              <w:autoSpaceDE/>
              <w:autoSpaceDN/>
              <w:adjustRightInd/>
              <w:spacing w:after="0"/>
              <w:ind w:left="363" w:hanging="363"/>
              <w:textAlignment w:val="auto"/>
              <w:rPr>
                <w:rFonts w:ascii="Arial" w:eastAsia="MS Mincho" w:hAnsi="Arial"/>
                <w:szCs w:val="24"/>
                <w:lang w:eastAsia="en-GB"/>
              </w:rPr>
            </w:pPr>
            <w:r w:rsidRPr="00D82491">
              <w:rPr>
                <w:rFonts w:ascii="Arial" w:eastAsia="MS Mincho" w:hAnsi="Arial"/>
                <w:szCs w:val="24"/>
                <w:lang w:eastAsia="en-GB"/>
              </w:rPr>
              <w:t>-</w:t>
            </w:r>
            <w:r w:rsidRPr="00D82491">
              <w:rPr>
                <w:rFonts w:ascii="Arial" w:eastAsia="MS Mincho" w:hAnsi="Arial"/>
                <w:szCs w:val="24"/>
                <w:lang w:eastAsia="en-GB"/>
              </w:rPr>
              <w:tab/>
              <w:t xml:space="preserve">MAC is reset and default MAC cell group configuration is released </w:t>
            </w:r>
          </w:p>
          <w:p w14:paraId="0B9703B0" w14:textId="77777777" w:rsidR="00D82491" w:rsidRPr="00D82491" w:rsidRDefault="00D82491" w:rsidP="00D82491">
            <w:pPr>
              <w:tabs>
                <w:tab w:val="left" w:pos="1622"/>
              </w:tabs>
              <w:overflowPunct/>
              <w:autoSpaceDE/>
              <w:autoSpaceDN/>
              <w:adjustRightInd/>
              <w:spacing w:after="0"/>
              <w:ind w:left="363" w:hanging="363"/>
              <w:textAlignment w:val="auto"/>
              <w:rPr>
                <w:rFonts w:ascii="Arial" w:eastAsia="MS Mincho" w:hAnsi="Arial"/>
                <w:szCs w:val="24"/>
                <w:lang w:eastAsia="en-GB"/>
              </w:rPr>
            </w:pPr>
            <w:r w:rsidRPr="00D82491">
              <w:rPr>
                <w:rFonts w:ascii="Arial" w:eastAsia="MS Mincho" w:hAnsi="Arial"/>
                <w:szCs w:val="24"/>
                <w:lang w:eastAsia="en-GB"/>
              </w:rPr>
              <w:t>-</w:t>
            </w:r>
            <w:r w:rsidRPr="00D82491">
              <w:rPr>
                <w:rFonts w:ascii="Arial" w:eastAsia="MS Mincho" w:hAnsi="Arial"/>
                <w:szCs w:val="24"/>
                <w:lang w:eastAsia="en-GB"/>
              </w:rPr>
              <w:tab/>
              <w:t xml:space="preserve">RLC entities for SRB1 are re-established </w:t>
            </w:r>
          </w:p>
          <w:p w14:paraId="3B752D1C" w14:textId="77777777" w:rsidR="00D82491" w:rsidRPr="00D82491" w:rsidRDefault="00D82491" w:rsidP="00D82491">
            <w:pPr>
              <w:tabs>
                <w:tab w:val="left" w:pos="1622"/>
              </w:tabs>
              <w:overflowPunct/>
              <w:autoSpaceDE/>
              <w:autoSpaceDN/>
              <w:adjustRightInd/>
              <w:spacing w:after="0"/>
              <w:ind w:left="363" w:hanging="363"/>
              <w:textAlignment w:val="auto"/>
              <w:rPr>
                <w:rFonts w:ascii="Arial" w:eastAsia="MS Mincho" w:hAnsi="Arial"/>
                <w:szCs w:val="24"/>
                <w:lang w:eastAsia="en-GB"/>
              </w:rPr>
            </w:pPr>
            <w:r w:rsidRPr="00D82491">
              <w:rPr>
                <w:rFonts w:ascii="Arial" w:eastAsia="MS Mincho" w:hAnsi="Arial"/>
                <w:szCs w:val="24"/>
                <w:lang w:eastAsia="en-GB"/>
              </w:rPr>
              <w:t>-</w:t>
            </w:r>
            <w:r w:rsidRPr="00D82491">
              <w:rPr>
                <w:rFonts w:ascii="Arial" w:eastAsia="MS Mincho" w:hAnsi="Arial"/>
                <w:szCs w:val="24"/>
                <w:lang w:eastAsia="en-GB"/>
              </w:rPr>
              <w:tab/>
              <w:t>SRBs and DRBs are suspended except SRB0</w:t>
            </w:r>
          </w:p>
          <w:p w14:paraId="19507187" w14:textId="77777777" w:rsidR="00D82491" w:rsidRPr="00D82491" w:rsidRDefault="00D82491" w:rsidP="00D82491">
            <w:pPr>
              <w:tabs>
                <w:tab w:val="left" w:pos="1622"/>
              </w:tabs>
              <w:overflowPunct/>
              <w:autoSpaceDE/>
              <w:autoSpaceDN/>
              <w:adjustRightInd/>
              <w:spacing w:after="0"/>
              <w:ind w:left="363" w:hanging="363"/>
              <w:textAlignment w:val="auto"/>
              <w:rPr>
                <w:rFonts w:ascii="Arial" w:eastAsia="MS Mincho" w:hAnsi="Arial"/>
                <w:szCs w:val="24"/>
                <w:lang w:eastAsia="en-GB"/>
              </w:rPr>
            </w:pPr>
            <w:r w:rsidRPr="00D82491">
              <w:rPr>
                <w:rFonts w:ascii="Arial" w:eastAsia="MS Mincho" w:hAnsi="Arial"/>
                <w:szCs w:val="24"/>
                <w:lang w:eastAsia="en-GB"/>
              </w:rPr>
              <w:t>NOTE: SDT termination will be discussed with later papers</w:t>
            </w:r>
          </w:p>
          <w:p w14:paraId="3E20002A" w14:textId="77777777" w:rsidR="00D82491" w:rsidRPr="00D82491" w:rsidRDefault="00D82491" w:rsidP="00D82491">
            <w:pPr>
              <w:tabs>
                <w:tab w:val="left" w:pos="1622"/>
              </w:tabs>
              <w:overflowPunct/>
              <w:autoSpaceDE/>
              <w:autoSpaceDN/>
              <w:adjustRightInd/>
              <w:spacing w:after="0"/>
              <w:ind w:left="363" w:hanging="363"/>
              <w:textAlignment w:val="auto"/>
              <w:rPr>
                <w:rFonts w:ascii="Arial" w:eastAsia="MS Mincho" w:hAnsi="Arial"/>
                <w:i/>
                <w:iCs/>
                <w:szCs w:val="24"/>
                <w:lang w:eastAsia="en-GB"/>
              </w:rPr>
            </w:pPr>
            <w:r w:rsidRPr="00D82491">
              <w:rPr>
                <w:rFonts w:ascii="Arial" w:eastAsia="MS Mincho" w:hAnsi="Arial"/>
                <w:szCs w:val="24"/>
                <w:lang w:eastAsia="en-GB"/>
              </w:rPr>
              <w:t>2</w:t>
            </w:r>
            <w:r w:rsidRPr="00D82491">
              <w:rPr>
                <w:rFonts w:ascii="Arial" w:eastAsia="MS Mincho" w:hAnsi="Arial"/>
                <w:szCs w:val="24"/>
                <w:lang w:eastAsia="en-GB"/>
              </w:rPr>
              <w:tab/>
              <w:t xml:space="preserve">For both RACH and CG based solutions, upon initiating RESUME procedure for SDT initiation (i.e. for first SDT transmission), the UE shall re-establish at least the SDT PDCP entities and resume the SDT DRBs that are configured for small data transmission (along with the SRB1). </w:t>
            </w:r>
            <w:r w:rsidRPr="00D82491">
              <w:rPr>
                <w:rFonts w:ascii="Arial" w:eastAsia="MS Mincho" w:hAnsi="Arial"/>
                <w:i/>
                <w:iCs/>
                <w:szCs w:val="24"/>
                <w:lang w:eastAsia="en-GB"/>
              </w:rPr>
              <w:t xml:space="preserve">FFS for non-SDT DRBs. FFS on implicit vs. explicit.  FFS on whether we </w:t>
            </w:r>
            <w:r w:rsidRPr="00D82491">
              <w:rPr>
                <w:rFonts w:ascii="Arial" w:eastAsia="MS Mincho" w:hAnsi="Arial"/>
                <w:i/>
                <w:iCs/>
                <w:szCs w:val="24"/>
                <w:lang w:eastAsia="en-GB"/>
              </w:rPr>
              <w:lastRenderedPageBreak/>
              <w:t xml:space="preserve">a new Resume cause.  FFS on whether we need to deal with suppressing PDCP status report </w:t>
            </w:r>
          </w:p>
          <w:p w14:paraId="6CB326F8" w14:textId="77777777" w:rsidR="00D82491" w:rsidRPr="00D82491" w:rsidRDefault="00D82491" w:rsidP="00D82491">
            <w:pPr>
              <w:tabs>
                <w:tab w:val="left" w:pos="1622"/>
              </w:tabs>
              <w:overflowPunct/>
              <w:autoSpaceDE/>
              <w:autoSpaceDN/>
              <w:adjustRightInd/>
              <w:spacing w:after="0"/>
              <w:ind w:left="363" w:hanging="363"/>
              <w:textAlignment w:val="auto"/>
              <w:rPr>
                <w:rFonts w:ascii="Arial" w:eastAsia="MS Mincho" w:hAnsi="Arial"/>
                <w:szCs w:val="24"/>
                <w:lang w:eastAsia="en-GB"/>
              </w:rPr>
            </w:pPr>
            <w:r w:rsidRPr="00D82491">
              <w:rPr>
                <w:rFonts w:ascii="Arial" w:eastAsia="MS Mincho" w:hAnsi="Arial"/>
                <w:szCs w:val="24"/>
                <w:lang w:eastAsia="en-GB"/>
              </w:rPr>
              <w:t xml:space="preserve">3  </w:t>
            </w:r>
            <w:r w:rsidRPr="00D82491">
              <w:rPr>
                <w:rFonts w:ascii="Arial" w:eastAsia="MS Mincho" w:hAnsi="Arial"/>
                <w:szCs w:val="24"/>
                <w:lang w:eastAsia="en-GB"/>
              </w:rPr>
              <w:tab/>
              <w:t>The first UL message (i.e. MSG3 for 4-step RACH, MSGA payload for 2-step RACH and the CG transmission for CG) may contain at least the following contents (depending on the size of the message):</w:t>
            </w:r>
          </w:p>
          <w:p w14:paraId="2FEADE86" w14:textId="77777777" w:rsidR="00D82491" w:rsidRPr="00D82491" w:rsidRDefault="00D82491" w:rsidP="00D82491">
            <w:pPr>
              <w:tabs>
                <w:tab w:val="left" w:pos="1622"/>
              </w:tabs>
              <w:overflowPunct/>
              <w:autoSpaceDE/>
              <w:autoSpaceDN/>
              <w:adjustRightInd/>
              <w:spacing w:after="0"/>
              <w:ind w:left="726" w:hanging="363"/>
              <w:textAlignment w:val="auto"/>
              <w:rPr>
                <w:rFonts w:ascii="Arial" w:eastAsia="MS Mincho" w:hAnsi="Arial"/>
                <w:szCs w:val="24"/>
                <w:lang w:eastAsia="en-GB"/>
              </w:rPr>
            </w:pPr>
            <w:r w:rsidRPr="00D82491">
              <w:rPr>
                <w:rFonts w:ascii="Arial" w:eastAsia="MS Mincho" w:hAnsi="Arial"/>
                <w:szCs w:val="24"/>
                <w:lang w:eastAsia="en-GB"/>
              </w:rPr>
              <w:t>-</w:t>
            </w:r>
            <w:r w:rsidRPr="00D82491">
              <w:rPr>
                <w:rFonts w:ascii="Arial" w:eastAsia="MS Mincho" w:hAnsi="Arial"/>
                <w:szCs w:val="24"/>
                <w:lang w:eastAsia="en-GB"/>
              </w:rPr>
              <w:tab/>
              <w:t>CCCH message (needs to be included)</w:t>
            </w:r>
          </w:p>
          <w:p w14:paraId="606779D8" w14:textId="77777777" w:rsidR="00D82491" w:rsidRPr="00D82491" w:rsidRDefault="00D82491" w:rsidP="00D82491">
            <w:pPr>
              <w:tabs>
                <w:tab w:val="left" w:pos="1622"/>
              </w:tabs>
              <w:overflowPunct/>
              <w:autoSpaceDE/>
              <w:autoSpaceDN/>
              <w:adjustRightInd/>
              <w:spacing w:after="0"/>
              <w:ind w:left="726" w:hanging="363"/>
              <w:textAlignment w:val="auto"/>
              <w:rPr>
                <w:rFonts w:ascii="Arial" w:eastAsia="MS Mincho" w:hAnsi="Arial"/>
                <w:szCs w:val="24"/>
                <w:lang w:eastAsia="en-GB"/>
              </w:rPr>
            </w:pPr>
            <w:r w:rsidRPr="00D82491">
              <w:rPr>
                <w:rFonts w:ascii="Arial" w:eastAsia="MS Mincho" w:hAnsi="Arial"/>
                <w:szCs w:val="24"/>
                <w:lang w:eastAsia="en-GB"/>
              </w:rPr>
              <w:t>LCP can be used to determine to priority of the content below that may be included</w:t>
            </w:r>
          </w:p>
          <w:p w14:paraId="7CBA3206" w14:textId="77777777" w:rsidR="00D82491" w:rsidRPr="00D82491" w:rsidRDefault="00D82491" w:rsidP="00D82491">
            <w:pPr>
              <w:tabs>
                <w:tab w:val="left" w:pos="1622"/>
              </w:tabs>
              <w:overflowPunct/>
              <w:autoSpaceDE/>
              <w:autoSpaceDN/>
              <w:adjustRightInd/>
              <w:spacing w:after="0"/>
              <w:ind w:left="726" w:hanging="363"/>
              <w:textAlignment w:val="auto"/>
              <w:rPr>
                <w:rFonts w:ascii="Arial" w:eastAsia="MS Mincho" w:hAnsi="Arial"/>
                <w:szCs w:val="24"/>
                <w:lang w:eastAsia="en-GB"/>
              </w:rPr>
            </w:pPr>
            <w:r w:rsidRPr="00D82491">
              <w:rPr>
                <w:rFonts w:ascii="Arial" w:eastAsia="MS Mincho" w:hAnsi="Arial"/>
                <w:szCs w:val="24"/>
                <w:lang w:eastAsia="en-GB"/>
              </w:rPr>
              <w:t>-</w:t>
            </w:r>
            <w:r w:rsidRPr="00D82491">
              <w:rPr>
                <w:rFonts w:ascii="Arial" w:eastAsia="MS Mincho" w:hAnsi="Arial"/>
                <w:szCs w:val="24"/>
                <w:lang w:eastAsia="en-GB"/>
              </w:rPr>
              <w:tab/>
              <w:t xml:space="preserve">DRB data from one or more DRBs which are configured by the network for small data transmission </w:t>
            </w:r>
          </w:p>
          <w:p w14:paraId="0E1E193A" w14:textId="77777777" w:rsidR="00D82491" w:rsidRPr="00D82491" w:rsidRDefault="00D82491" w:rsidP="00D82491">
            <w:pPr>
              <w:tabs>
                <w:tab w:val="left" w:pos="1622"/>
              </w:tabs>
              <w:overflowPunct/>
              <w:autoSpaceDE/>
              <w:autoSpaceDN/>
              <w:adjustRightInd/>
              <w:spacing w:after="0"/>
              <w:ind w:left="726" w:hanging="363"/>
              <w:textAlignment w:val="auto"/>
              <w:rPr>
                <w:rFonts w:ascii="Arial" w:eastAsia="MS Mincho" w:hAnsi="Arial"/>
                <w:szCs w:val="24"/>
                <w:lang w:val="en-US" w:eastAsia="en-GB"/>
              </w:rPr>
            </w:pPr>
            <w:r w:rsidRPr="00D82491">
              <w:rPr>
                <w:rFonts w:ascii="Arial" w:eastAsia="MS Mincho" w:hAnsi="Arial"/>
                <w:szCs w:val="24"/>
                <w:lang w:val="fr-FR" w:eastAsia="en-GB"/>
              </w:rPr>
              <w:t>-</w:t>
            </w:r>
            <w:r w:rsidRPr="00D82491">
              <w:rPr>
                <w:rFonts w:ascii="Arial" w:eastAsia="MS Mincho" w:hAnsi="Arial"/>
                <w:szCs w:val="24"/>
                <w:lang w:val="fr-FR" w:eastAsia="en-GB"/>
              </w:rPr>
              <w:tab/>
              <w:t xml:space="preserve">MAC CEs – (e.g. BSR).  </w:t>
            </w:r>
            <w:r w:rsidRPr="00D82491">
              <w:rPr>
                <w:rFonts w:ascii="Arial" w:eastAsia="MS Mincho" w:hAnsi="Arial"/>
                <w:szCs w:val="24"/>
                <w:lang w:val="en-US" w:eastAsia="en-GB"/>
              </w:rPr>
              <w:t xml:space="preserve">FFS other MAC CEs </w:t>
            </w:r>
          </w:p>
          <w:p w14:paraId="33BA8217" w14:textId="77777777" w:rsidR="00D82491" w:rsidRPr="00D82491" w:rsidRDefault="00D82491" w:rsidP="00D82491">
            <w:pPr>
              <w:tabs>
                <w:tab w:val="left" w:pos="1622"/>
              </w:tabs>
              <w:overflowPunct/>
              <w:autoSpaceDE/>
              <w:autoSpaceDN/>
              <w:adjustRightInd/>
              <w:spacing w:after="0"/>
              <w:ind w:left="726" w:hanging="363"/>
              <w:textAlignment w:val="auto"/>
              <w:rPr>
                <w:rFonts w:ascii="Arial" w:eastAsia="MS Mincho" w:hAnsi="Arial"/>
                <w:szCs w:val="24"/>
                <w:lang w:val="en-US" w:eastAsia="en-GB"/>
              </w:rPr>
            </w:pPr>
            <w:r w:rsidRPr="00D82491">
              <w:rPr>
                <w:rFonts w:ascii="Arial" w:eastAsia="MS Mincho" w:hAnsi="Arial"/>
                <w:szCs w:val="24"/>
                <w:lang w:val="en-US" w:eastAsia="en-GB"/>
              </w:rPr>
              <w:t>-</w:t>
            </w:r>
            <w:r w:rsidRPr="00D82491">
              <w:rPr>
                <w:rFonts w:ascii="Arial" w:eastAsia="MS Mincho" w:hAnsi="Arial"/>
                <w:szCs w:val="24"/>
                <w:lang w:val="en-US" w:eastAsia="en-GB"/>
              </w:rPr>
              <w:tab/>
              <w:t>Padding bits</w:t>
            </w:r>
          </w:p>
          <w:p w14:paraId="151D72CA" w14:textId="77777777" w:rsidR="00D82491" w:rsidRPr="00D82491" w:rsidRDefault="00D82491" w:rsidP="00D82491">
            <w:pPr>
              <w:tabs>
                <w:tab w:val="left" w:pos="1622"/>
              </w:tabs>
              <w:overflowPunct/>
              <w:autoSpaceDE/>
              <w:autoSpaceDN/>
              <w:adjustRightInd/>
              <w:spacing w:after="0"/>
              <w:ind w:left="363" w:hanging="363"/>
              <w:textAlignment w:val="auto"/>
              <w:rPr>
                <w:rFonts w:ascii="Arial" w:eastAsia="MS Mincho" w:hAnsi="Arial"/>
                <w:szCs w:val="24"/>
                <w:lang w:val="en-US" w:eastAsia="en-GB"/>
              </w:rPr>
            </w:pPr>
            <w:r w:rsidRPr="00D82491">
              <w:rPr>
                <w:rFonts w:ascii="Arial" w:eastAsia="MS Mincho" w:hAnsi="Arial"/>
                <w:szCs w:val="24"/>
                <w:lang w:val="en-US" w:eastAsia="en-GB"/>
              </w:rPr>
              <w:tab/>
              <w:t xml:space="preserve">FFS if we need to ensure that SDT data only is included.  Depends on whether the UE initiates legacy/normal resume </w:t>
            </w:r>
          </w:p>
          <w:p w14:paraId="25C97F55" w14:textId="77777777" w:rsidR="00D82491" w:rsidRPr="00D82491" w:rsidRDefault="00D82491" w:rsidP="00D82491">
            <w:pPr>
              <w:tabs>
                <w:tab w:val="left" w:pos="1622"/>
              </w:tabs>
              <w:overflowPunct/>
              <w:autoSpaceDE/>
              <w:autoSpaceDN/>
              <w:adjustRightInd/>
              <w:spacing w:after="0"/>
              <w:ind w:left="363" w:hanging="363"/>
              <w:textAlignment w:val="auto"/>
              <w:rPr>
                <w:rFonts w:ascii="Arial" w:eastAsia="MS Mincho" w:hAnsi="Arial"/>
                <w:szCs w:val="24"/>
                <w:lang w:eastAsia="en-GB"/>
              </w:rPr>
            </w:pPr>
            <w:r w:rsidRPr="00D82491">
              <w:rPr>
                <w:rFonts w:ascii="Arial" w:eastAsia="MS Mincho" w:hAnsi="Arial"/>
                <w:szCs w:val="24"/>
                <w:lang w:eastAsia="en-GB"/>
              </w:rPr>
              <w:t>4</w:t>
            </w:r>
            <w:r w:rsidRPr="00D82491">
              <w:rPr>
                <w:rFonts w:ascii="Arial" w:eastAsia="MS Mincho" w:hAnsi="Arial"/>
                <w:szCs w:val="24"/>
                <w:lang w:eastAsia="en-GB"/>
              </w:rPr>
              <w:tab/>
              <w:t>For RACH and CG, the existing UAC procedure to determine whether access attempt is allowed, will be reused for SDT.</w:t>
            </w:r>
          </w:p>
          <w:p w14:paraId="3E26B273" w14:textId="77777777" w:rsidR="00D82491" w:rsidRPr="00D82491" w:rsidRDefault="00D82491" w:rsidP="00D82491">
            <w:pPr>
              <w:tabs>
                <w:tab w:val="left" w:pos="1622"/>
              </w:tabs>
              <w:overflowPunct/>
              <w:autoSpaceDE/>
              <w:autoSpaceDN/>
              <w:adjustRightInd/>
              <w:spacing w:after="0"/>
              <w:ind w:left="363" w:hanging="363"/>
              <w:textAlignment w:val="auto"/>
              <w:rPr>
                <w:rFonts w:ascii="Arial" w:eastAsia="MS Mincho" w:hAnsi="Arial"/>
                <w:szCs w:val="24"/>
                <w:lang w:eastAsia="en-GB"/>
              </w:rPr>
            </w:pPr>
            <w:r w:rsidRPr="00D82491">
              <w:rPr>
                <w:rFonts w:ascii="Arial" w:eastAsia="MS Mincho" w:hAnsi="Arial"/>
                <w:szCs w:val="24"/>
                <w:lang w:eastAsia="en-GB"/>
              </w:rPr>
              <w:t>5</w:t>
            </w:r>
            <w:r w:rsidRPr="00D82491">
              <w:rPr>
                <w:rFonts w:ascii="Arial" w:eastAsia="MS Mincho" w:hAnsi="Arial"/>
                <w:szCs w:val="24"/>
                <w:lang w:eastAsia="en-GB"/>
              </w:rPr>
              <w:tab/>
              <w:t>SDT is transparent to NAS layer (i.e. NAS generates one of the existing resume causes and AS decides SDT vs non-SDT access)</w:t>
            </w:r>
          </w:p>
          <w:p w14:paraId="6D98C60F" w14:textId="77777777" w:rsidR="00D82491" w:rsidRPr="00D82491" w:rsidRDefault="00D82491" w:rsidP="00D82491">
            <w:pPr>
              <w:tabs>
                <w:tab w:val="left" w:pos="1622"/>
              </w:tabs>
              <w:overflowPunct/>
              <w:autoSpaceDE/>
              <w:autoSpaceDN/>
              <w:adjustRightInd/>
              <w:spacing w:after="0"/>
              <w:ind w:left="363" w:hanging="363"/>
              <w:textAlignment w:val="auto"/>
              <w:rPr>
                <w:rFonts w:ascii="Arial" w:eastAsia="MS Mincho" w:hAnsi="Arial"/>
                <w:szCs w:val="24"/>
                <w:lang w:eastAsia="en-GB"/>
              </w:rPr>
            </w:pPr>
            <w:r w:rsidRPr="00D82491">
              <w:rPr>
                <w:rFonts w:ascii="Arial" w:eastAsia="MS Mincho" w:hAnsi="Arial"/>
                <w:szCs w:val="24"/>
                <w:lang w:eastAsia="en-GB"/>
              </w:rPr>
              <w:t xml:space="preserve">6 </w:t>
            </w:r>
            <w:r w:rsidRPr="00D82491">
              <w:rPr>
                <w:rFonts w:ascii="Arial" w:eastAsia="MS Mincho" w:hAnsi="Arial"/>
                <w:szCs w:val="24"/>
                <w:lang w:eastAsia="en-GB"/>
              </w:rPr>
              <w:tab/>
              <w:t>In case of RRC-based solution, for both RACH and CG based solutions, the CCCH message contains ResumeMAC-I generated using the stored security key for RRC integrity protection – i.e same as Rel-16.</w:t>
            </w:r>
          </w:p>
          <w:p w14:paraId="18F316F3" w14:textId="77777777" w:rsidR="00D82491" w:rsidRPr="00D82491" w:rsidRDefault="00D82491" w:rsidP="00D82491">
            <w:pPr>
              <w:tabs>
                <w:tab w:val="left" w:pos="1622"/>
              </w:tabs>
              <w:overflowPunct/>
              <w:autoSpaceDE/>
              <w:autoSpaceDN/>
              <w:adjustRightInd/>
              <w:spacing w:after="0"/>
              <w:ind w:left="363" w:hanging="363"/>
              <w:textAlignment w:val="auto"/>
              <w:rPr>
                <w:rFonts w:ascii="Arial" w:eastAsia="MS Mincho" w:hAnsi="Arial"/>
                <w:szCs w:val="24"/>
                <w:lang w:eastAsia="en-GB"/>
              </w:rPr>
            </w:pPr>
            <w:r w:rsidRPr="00D82491">
              <w:rPr>
                <w:rFonts w:ascii="Arial" w:eastAsia="MS Mincho" w:hAnsi="Arial"/>
                <w:szCs w:val="24"/>
                <w:lang w:eastAsia="en-GB"/>
              </w:rPr>
              <w:t>7    For both RACH and CG based solutions, new keys are generated using the stored security context and the NCC value received in the previous RRCRelease message (i.e. same as legacy procedure) and these new keys are used for generating the data of DRBs that are configured for SDT.</w:t>
            </w:r>
          </w:p>
          <w:p w14:paraId="40C43887" w14:textId="77777777" w:rsidR="00D82491" w:rsidRPr="00D82491" w:rsidRDefault="00D82491" w:rsidP="00D82491">
            <w:pPr>
              <w:tabs>
                <w:tab w:val="left" w:pos="1622"/>
              </w:tabs>
              <w:overflowPunct/>
              <w:autoSpaceDE/>
              <w:autoSpaceDN/>
              <w:adjustRightInd/>
              <w:spacing w:after="0"/>
              <w:ind w:left="363" w:hanging="363"/>
              <w:textAlignment w:val="auto"/>
              <w:rPr>
                <w:rFonts w:ascii="Arial" w:eastAsia="MS Mincho" w:hAnsi="Arial"/>
                <w:i/>
                <w:iCs/>
                <w:szCs w:val="24"/>
                <w:lang w:eastAsia="en-GB"/>
              </w:rPr>
            </w:pPr>
            <w:r w:rsidRPr="00D82491">
              <w:rPr>
                <w:rFonts w:ascii="Arial" w:eastAsia="MS Mincho" w:hAnsi="Arial"/>
                <w:szCs w:val="24"/>
                <w:lang w:eastAsia="en-GB"/>
              </w:rPr>
              <w:t>8</w:t>
            </w:r>
            <w:r w:rsidRPr="00D82491">
              <w:rPr>
                <w:rFonts w:ascii="Arial" w:eastAsia="MS Mincho" w:hAnsi="Arial"/>
                <w:szCs w:val="24"/>
                <w:lang w:eastAsia="en-GB"/>
              </w:rPr>
              <w:tab/>
              <w:t xml:space="preserve">For RACH based solutions, upon successful completion of contention resolution, the UE shall monitor the C-RNTI. </w:t>
            </w:r>
          </w:p>
          <w:p w14:paraId="42B95B20" w14:textId="77777777" w:rsidR="00D82491" w:rsidRPr="00D82491" w:rsidRDefault="00D82491" w:rsidP="00D82491">
            <w:pPr>
              <w:tabs>
                <w:tab w:val="left" w:pos="1622"/>
              </w:tabs>
              <w:overflowPunct/>
              <w:autoSpaceDE/>
              <w:autoSpaceDN/>
              <w:adjustRightInd/>
              <w:spacing w:after="0"/>
              <w:ind w:left="363" w:hanging="363"/>
              <w:textAlignment w:val="auto"/>
              <w:rPr>
                <w:rFonts w:ascii="Arial" w:eastAsia="MS Mincho" w:hAnsi="Arial"/>
                <w:szCs w:val="24"/>
                <w:lang w:eastAsia="en-GB"/>
              </w:rPr>
            </w:pPr>
            <w:r w:rsidRPr="00D82491">
              <w:rPr>
                <w:rFonts w:ascii="Arial" w:eastAsia="MS Mincho" w:hAnsi="Arial"/>
                <w:i/>
                <w:iCs/>
                <w:szCs w:val="24"/>
                <w:lang w:eastAsia="en-GB"/>
              </w:rPr>
              <w:t>9</w:t>
            </w:r>
            <w:r w:rsidRPr="00D82491">
              <w:rPr>
                <w:rFonts w:ascii="Arial" w:eastAsia="MS Mincho" w:hAnsi="Arial"/>
                <w:i/>
                <w:iCs/>
                <w:szCs w:val="24"/>
                <w:lang w:eastAsia="en-GB"/>
              </w:rPr>
              <w:tab/>
              <w:t>Determine if RAN1 LS is needed later – current list of possible questions</w:t>
            </w:r>
            <w:r w:rsidRPr="00D82491">
              <w:rPr>
                <w:rFonts w:ascii="Arial" w:eastAsia="MS Mincho" w:hAnsi="Arial"/>
                <w:szCs w:val="24"/>
                <w:lang w:eastAsia="en-GB"/>
              </w:rPr>
              <w:t xml:space="preserve"> input on the coreset/search space for the C-RNTI (i.e. is it common or dedicated)</w:t>
            </w:r>
          </w:p>
          <w:p w14:paraId="5BE9AA6C" w14:textId="77777777" w:rsidR="00D82491" w:rsidRPr="00D82491" w:rsidRDefault="00D82491" w:rsidP="00D82491">
            <w:pPr>
              <w:tabs>
                <w:tab w:val="left" w:pos="1622"/>
              </w:tabs>
              <w:overflowPunct/>
              <w:autoSpaceDE/>
              <w:autoSpaceDN/>
              <w:adjustRightInd/>
              <w:spacing w:after="0"/>
              <w:ind w:left="363" w:hanging="363"/>
              <w:textAlignment w:val="auto"/>
              <w:rPr>
                <w:rFonts w:ascii="Arial" w:eastAsia="MS Mincho" w:hAnsi="Arial"/>
                <w:szCs w:val="24"/>
                <w:lang w:eastAsia="en-GB"/>
              </w:rPr>
            </w:pPr>
            <w:r w:rsidRPr="00D82491">
              <w:rPr>
                <w:rFonts w:ascii="Arial" w:eastAsia="MS Mincho" w:hAnsi="Arial"/>
                <w:szCs w:val="24"/>
                <w:lang w:eastAsia="en-GB"/>
              </w:rPr>
              <w:t xml:space="preserve">10:  As a baseline, the RACH resource i.e. (RO+preamble combination) is different between SDT and non-SDT </w:t>
            </w:r>
          </w:p>
          <w:p w14:paraId="2E3BDC3C" w14:textId="77777777" w:rsidR="00D82491" w:rsidRPr="00D82491" w:rsidRDefault="00D82491" w:rsidP="00D82491">
            <w:pPr>
              <w:tabs>
                <w:tab w:val="left" w:pos="1622"/>
              </w:tabs>
              <w:overflowPunct/>
              <w:autoSpaceDE/>
              <w:autoSpaceDN/>
              <w:adjustRightInd/>
              <w:spacing w:after="0"/>
              <w:ind w:left="363" w:hanging="363"/>
              <w:textAlignment w:val="auto"/>
              <w:rPr>
                <w:rFonts w:ascii="Arial" w:eastAsia="MS Mincho" w:hAnsi="Arial"/>
                <w:szCs w:val="24"/>
                <w:lang w:eastAsia="en-GB"/>
              </w:rPr>
            </w:pPr>
            <w:r w:rsidRPr="00D82491">
              <w:rPr>
                <w:rFonts w:ascii="Arial" w:eastAsia="MS Mincho" w:hAnsi="Arial"/>
                <w:szCs w:val="24"/>
                <w:lang w:eastAsia="en-GB"/>
              </w:rPr>
              <w:t>Note: the above proposal means that</w:t>
            </w:r>
          </w:p>
          <w:p w14:paraId="497CABF5" w14:textId="77777777" w:rsidR="00D82491" w:rsidRPr="00D82491" w:rsidRDefault="00D82491" w:rsidP="00D82491">
            <w:pPr>
              <w:tabs>
                <w:tab w:val="left" w:pos="1622"/>
              </w:tabs>
              <w:overflowPunct/>
              <w:autoSpaceDE/>
              <w:autoSpaceDN/>
              <w:adjustRightInd/>
              <w:spacing w:after="0"/>
              <w:ind w:left="363" w:hanging="363"/>
              <w:textAlignment w:val="auto"/>
              <w:rPr>
                <w:rFonts w:ascii="Arial" w:eastAsia="MS Mincho" w:hAnsi="Arial"/>
                <w:szCs w:val="24"/>
                <w:lang w:eastAsia="en-GB"/>
              </w:rPr>
            </w:pPr>
            <w:r w:rsidRPr="00D82491">
              <w:rPr>
                <w:rFonts w:ascii="Arial" w:eastAsia="MS Mincho" w:hAnsi="Arial"/>
                <w:szCs w:val="24"/>
                <w:lang w:eastAsia="en-GB"/>
              </w:rPr>
              <w:t>-</w:t>
            </w:r>
            <w:r w:rsidRPr="00D82491">
              <w:rPr>
                <w:rFonts w:ascii="Arial" w:eastAsia="MS Mincho" w:hAnsi="Arial"/>
                <w:szCs w:val="24"/>
                <w:lang w:eastAsia="en-GB"/>
              </w:rPr>
              <w:tab/>
              <w:t>If ROs for SDT and non SDT are different, preamble partitioning between SDT and non SDT is not needed.</w:t>
            </w:r>
          </w:p>
          <w:p w14:paraId="4EDDBEC1" w14:textId="77777777" w:rsidR="00D82491" w:rsidRPr="00D82491" w:rsidRDefault="00D82491" w:rsidP="00D82491">
            <w:pPr>
              <w:tabs>
                <w:tab w:val="left" w:pos="1622"/>
              </w:tabs>
              <w:overflowPunct/>
              <w:autoSpaceDE/>
              <w:autoSpaceDN/>
              <w:adjustRightInd/>
              <w:spacing w:after="0"/>
              <w:ind w:left="363" w:hanging="363"/>
              <w:textAlignment w:val="auto"/>
              <w:rPr>
                <w:rFonts w:ascii="Arial" w:eastAsia="MS Mincho" w:hAnsi="Arial"/>
                <w:szCs w:val="24"/>
                <w:lang w:eastAsia="en-GB"/>
              </w:rPr>
            </w:pPr>
            <w:r w:rsidRPr="00D82491">
              <w:rPr>
                <w:rFonts w:ascii="Arial" w:eastAsia="MS Mincho" w:hAnsi="Arial"/>
                <w:szCs w:val="24"/>
                <w:lang w:eastAsia="en-GB"/>
              </w:rPr>
              <w:t>-</w:t>
            </w:r>
            <w:r w:rsidRPr="00D82491">
              <w:rPr>
                <w:rFonts w:ascii="Arial" w:eastAsia="MS Mincho" w:hAnsi="Arial"/>
                <w:szCs w:val="24"/>
                <w:lang w:eastAsia="en-GB"/>
              </w:rPr>
              <w:tab/>
              <w:t>If ROs for SDT and non SDT are same, preamble partitioning is needed</w:t>
            </w:r>
          </w:p>
          <w:p w14:paraId="2BEBC968" w14:textId="77777777" w:rsidR="00D82491" w:rsidRPr="00D82491" w:rsidRDefault="00D82491" w:rsidP="00D82491">
            <w:pPr>
              <w:tabs>
                <w:tab w:val="left" w:pos="1622"/>
              </w:tabs>
              <w:overflowPunct/>
              <w:autoSpaceDE/>
              <w:autoSpaceDN/>
              <w:adjustRightInd/>
              <w:spacing w:after="0"/>
              <w:ind w:left="363" w:hanging="363"/>
              <w:textAlignment w:val="auto"/>
              <w:rPr>
                <w:rFonts w:ascii="Arial" w:eastAsia="MS Mincho" w:hAnsi="Arial"/>
                <w:szCs w:val="24"/>
                <w:lang w:eastAsia="en-GB"/>
              </w:rPr>
            </w:pPr>
            <w:r w:rsidRPr="00D82491">
              <w:rPr>
                <w:rFonts w:ascii="Arial" w:eastAsia="MS Mincho" w:hAnsi="Arial"/>
                <w:szCs w:val="24"/>
                <w:lang w:eastAsia="en-GB"/>
              </w:rPr>
              <w:t>FFS if common configuration should be allowed</w:t>
            </w:r>
          </w:p>
          <w:p w14:paraId="0F9A65B6" w14:textId="77777777" w:rsidR="00D82491" w:rsidRPr="00D82491" w:rsidRDefault="00D82491" w:rsidP="00D82491">
            <w:pPr>
              <w:tabs>
                <w:tab w:val="left" w:pos="1622"/>
              </w:tabs>
              <w:overflowPunct/>
              <w:autoSpaceDE/>
              <w:autoSpaceDN/>
              <w:adjustRightInd/>
              <w:spacing w:after="0"/>
              <w:ind w:left="363" w:hanging="363"/>
              <w:textAlignment w:val="auto"/>
              <w:rPr>
                <w:rFonts w:ascii="Arial" w:eastAsia="MS Mincho" w:hAnsi="Arial"/>
                <w:szCs w:val="24"/>
                <w:lang w:eastAsia="en-GB"/>
              </w:rPr>
            </w:pPr>
            <w:r w:rsidRPr="00D82491">
              <w:rPr>
                <w:rFonts w:ascii="Arial" w:eastAsia="MS Mincho" w:hAnsi="Arial"/>
                <w:szCs w:val="24"/>
                <w:lang w:eastAsia="en-GB"/>
              </w:rPr>
              <w:t>11:</w:t>
            </w:r>
            <w:r w:rsidRPr="00D82491">
              <w:rPr>
                <w:rFonts w:ascii="Arial" w:eastAsia="MS Mincho" w:hAnsi="Arial"/>
                <w:szCs w:val="24"/>
                <w:lang w:eastAsia="en-GB"/>
              </w:rPr>
              <w:tab/>
              <w:t>If the RACH resource i.e. (RO+preamble combination) is different between SDT and non-SDT then there is no further need for any differentiation between MSG2/MSGB for SDT vs non-SDT</w:t>
            </w:r>
          </w:p>
          <w:p w14:paraId="313CC32C" w14:textId="77777777" w:rsidR="00D82491" w:rsidRPr="00D82491" w:rsidRDefault="00D82491" w:rsidP="00D82491">
            <w:pPr>
              <w:tabs>
                <w:tab w:val="left" w:pos="1622"/>
              </w:tabs>
              <w:overflowPunct/>
              <w:autoSpaceDE/>
              <w:autoSpaceDN/>
              <w:adjustRightInd/>
              <w:spacing w:after="0"/>
              <w:textAlignment w:val="auto"/>
              <w:rPr>
                <w:rFonts w:ascii="Arial" w:eastAsia="MS Mincho" w:hAnsi="Arial"/>
                <w:szCs w:val="24"/>
                <w:lang w:eastAsia="en-GB"/>
              </w:rPr>
            </w:pPr>
          </w:p>
        </w:tc>
      </w:tr>
    </w:tbl>
    <w:p w14:paraId="5208625B" w14:textId="77777777" w:rsidR="00D82491" w:rsidRPr="00D82491" w:rsidRDefault="00D82491" w:rsidP="00D82491">
      <w:pPr>
        <w:tabs>
          <w:tab w:val="left" w:pos="1622"/>
        </w:tabs>
        <w:overflowPunct/>
        <w:autoSpaceDE/>
        <w:autoSpaceDN/>
        <w:adjustRightInd/>
        <w:spacing w:after="0"/>
        <w:ind w:left="1083" w:hanging="363"/>
        <w:textAlignment w:val="auto"/>
        <w:rPr>
          <w:rFonts w:ascii="Arial" w:eastAsia="MS Mincho" w:hAnsi="Arial"/>
          <w:szCs w:val="24"/>
          <w:lang w:eastAsia="en-GB"/>
        </w:rPr>
      </w:pPr>
    </w:p>
    <w:p w14:paraId="6F15B88E" w14:textId="514EC3BE" w:rsidR="007D131A" w:rsidRPr="00CE0424" w:rsidRDefault="007D131A" w:rsidP="000D00E4">
      <w:pPr>
        <w:rPr>
          <w:noProof/>
          <w:lang w:eastAsia="ko-KR"/>
        </w:rPr>
      </w:pPr>
      <w:r>
        <w:rPr>
          <w:noProof/>
          <w:lang w:eastAsia="ko-KR"/>
        </w:rPr>
        <w:t xml:space="preserve">This contribution discusses </w:t>
      </w:r>
      <w:r w:rsidR="00D5578D">
        <w:rPr>
          <w:noProof/>
          <w:lang w:eastAsia="ko-KR"/>
        </w:rPr>
        <w:t xml:space="preserve">details and </w:t>
      </w:r>
      <w:r>
        <w:rPr>
          <w:noProof/>
          <w:lang w:eastAsia="ko-KR"/>
        </w:rPr>
        <w:t xml:space="preserve">issues with the </w:t>
      </w:r>
      <w:r w:rsidR="009E381A" w:rsidRPr="000D00E4">
        <w:rPr>
          <w:noProof/>
          <w:lang w:eastAsia="ko-KR"/>
        </w:rPr>
        <w:t xml:space="preserve">pre-configured PUSCH resource </w:t>
      </w:r>
      <w:r w:rsidR="00D5578D">
        <w:rPr>
          <w:noProof/>
          <w:lang w:eastAsia="ko-KR"/>
        </w:rPr>
        <w:t>s</w:t>
      </w:r>
      <w:r>
        <w:rPr>
          <w:noProof/>
          <w:lang w:eastAsia="ko-KR"/>
        </w:rPr>
        <w:t>chemes.</w:t>
      </w:r>
    </w:p>
    <w:p w14:paraId="34412299" w14:textId="536AD63F" w:rsidR="004000E8" w:rsidRDefault="00230D18" w:rsidP="00891CCB">
      <w:pPr>
        <w:pStyle w:val="Heading2"/>
        <w:rPr>
          <w:noProof/>
          <w:lang w:eastAsia="ko-KR"/>
        </w:rPr>
      </w:pPr>
      <w:bookmarkStart w:id="1" w:name="_Ref178064866"/>
      <w:r>
        <w:rPr>
          <w:noProof/>
          <w:lang w:eastAsia="ko-KR"/>
        </w:rPr>
        <w:t>2</w:t>
      </w:r>
      <w:r>
        <w:rPr>
          <w:noProof/>
          <w:lang w:eastAsia="ko-KR"/>
        </w:rPr>
        <w:tab/>
      </w:r>
      <w:r w:rsidR="004000E8" w:rsidRPr="00CE0424">
        <w:rPr>
          <w:noProof/>
          <w:lang w:eastAsia="ko-KR"/>
        </w:rPr>
        <w:t>Discussion</w:t>
      </w:r>
      <w:bookmarkEnd w:id="1"/>
    </w:p>
    <w:p w14:paraId="0D73332E" w14:textId="031A7B4D" w:rsidR="007D05C8" w:rsidRPr="000D00E4" w:rsidRDefault="00EA684A" w:rsidP="000D00E4">
      <w:pPr>
        <w:rPr>
          <w:noProof/>
          <w:lang w:eastAsia="ko-KR"/>
        </w:rPr>
      </w:pPr>
      <w:r>
        <w:rPr>
          <w:noProof/>
          <w:lang w:eastAsia="ko-KR"/>
        </w:rPr>
        <w:t xml:space="preserve">The general design principle of Rel 17 SDT for NR </w:t>
      </w:r>
      <w:r w:rsidR="00F12B09">
        <w:rPr>
          <w:noProof/>
          <w:lang w:eastAsia="ko-KR"/>
        </w:rPr>
        <w:t>is</w:t>
      </w:r>
      <w:r w:rsidR="00AD214B">
        <w:rPr>
          <w:noProof/>
          <w:lang w:eastAsia="ko-KR"/>
        </w:rPr>
        <w:t xml:space="preserve"> </w:t>
      </w:r>
      <w:r w:rsidR="004C7058" w:rsidRPr="000D00E4">
        <w:rPr>
          <w:noProof/>
          <w:lang w:eastAsia="ko-KR"/>
        </w:rPr>
        <w:t>that the framework of configured grants (CG)</w:t>
      </w:r>
      <w:r w:rsidR="00D82491">
        <w:rPr>
          <w:noProof/>
          <w:lang w:eastAsia="ko-KR"/>
        </w:rPr>
        <w:t xml:space="preserve"> of type 1</w:t>
      </w:r>
      <w:r w:rsidR="004C7058" w:rsidRPr="000D00E4">
        <w:rPr>
          <w:noProof/>
          <w:lang w:eastAsia="ko-KR"/>
        </w:rPr>
        <w:t xml:space="preserve"> is used as baseline.</w:t>
      </w:r>
      <w:r w:rsidR="007E154D">
        <w:rPr>
          <w:noProof/>
          <w:lang w:eastAsia="ko-KR"/>
        </w:rPr>
        <w:t xml:space="preserve"> With such an baseline, the current specification of UE behaviour and grant handling can be reused simplifying the work for SDT.</w:t>
      </w:r>
    </w:p>
    <w:p w14:paraId="247253FE" w14:textId="6477A345" w:rsidR="00D43621" w:rsidRDefault="002435B7" w:rsidP="00BD032D">
      <w:pPr>
        <w:pStyle w:val="Proposal"/>
        <w:tabs>
          <w:tab w:val="clear" w:pos="1304"/>
        </w:tabs>
        <w:ind w:left="1701" w:hanging="1701"/>
        <w:rPr>
          <w:noProof/>
          <w:lang w:eastAsia="ko-KR"/>
        </w:rPr>
      </w:pPr>
      <w:bookmarkStart w:id="2" w:name="_Toc54272459"/>
      <w:bookmarkStart w:id="3" w:name="_Toc61534643"/>
      <w:r w:rsidRPr="002435B7">
        <w:rPr>
          <w:noProof/>
          <w:lang w:eastAsia="ko-KR"/>
        </w:rPr>
        <w:t>The legacy C</w:t>
      </w:r>
      <w:r>
        <w:rPr>
          <w:noProof/>
          <w:lang w:eastAsia="ko-KR"/>
        </w:rPr>
        <w:t>onfigured Grant</w:t>
      </w:r>
      <w:r w:rsidRPr="002435B7">
        <w:rPr>
          <w:noProof/>
          <w:lang w:eastAsia="ko-KR"/>
        </w:rPr>
        <w:t xml:space="preserve"> framework is reused for CG based SDT</w:t>
      </w:r>
      <w:bookmarkEnd w:id="3"/>
      <w:r w:rsidRPr="002435B7">
        <w:rPr>
          <w:noProof/>
          <w:lang w:eastAsia="ko-KR"/>
        </w:rPr>
        <w:t xml:space="preserve"> </w:t>
      </w:r>
      <w:bookmarkEnd w:id="2"/>
    </w:p>
    <w:p w14:paraId="5CBF843A" w14:textId="13844716" w:rsidR="001238F8" w:rsidRDefault="001238F8" w:rsidP="001238F8">
      <w:pPr>
        <w:pStyle w:val="Proposal"/>
        <w:numPr>
          <w:ilvl w:val="0"/>
          <w:numId w:val="0"/>
        </w:numPr>
        <w:ind w:left="1304" w:hanging="1304"/>
        <w:rPr>
          <w:noProof/>
          <w:lang w:eastAsia="ko-KR"/>
        </w:rPr>
      </w:pPr>
    </w:p>
    <w:p w14:paraId="1DDB88F1" w14:textId="204AD349" w:rsidR="009841B9" w:rsidRDefault="009841B9" w:rsidP="009841B9">
      <w:pPr>
        <w:pStyle w:val="Heading3"/>
        <w:rPr>
          <w:noProof/>
          <w:lang w:eastAsia="ko-KR"/>
        </w:rPr>
      </w:pPr>
      <w:r>
        <w:rPr>
          <w:noProof/>
          <w:lang w:eastAsia="ko-KR"/>
        </w:rPr>
        <w:t>2.1</w:t>
      </w:r>
      <w:r>
        <w:rPr>
          <w:noProof/>
          <w:lang w:eastAsia="ko-KR"/>
        </w:rPr>
        <w:tab/>
      </w:r>
      <w:r w:rsidR="007256CF">
        <w:rPr>
          <w:noProof/>
          <w:lang w:eastAsia="ko-KR"/>
        </w:rPr>
        <w:t xml:space="preserve">Data volume </w:t>
      </w:r>
      <w:r w:rsidR="006E3B34">
        <w:rPr>
          <w:noProof/>
          <w:lang w:eastAsia="ko-KR"/>
        </w:rPr>
        <w:t>c</w:t>
      </w:r>
      <w:r w:rsidR="007256CF">
        <w:rPr>
          <w:noProof/>
          <w:lang w:eastAsia="ko-KR"/>
        </w:rPr>
        <w:t>riteria</w:t>
      </w:r>
      <w:r w:rsidR="00555405">
        <w:rPr>
          <w:noProof/>
          <w:lang w:eastAsia="ko-KR"/>
        </w:rPr>
        <w:t xml:space="preserve"> </w:t>
      </w:r>
    </w:p>
    <w:p w14:paraId="05D52C66" w14:textId="6FDB884B" w:rsidR="0092151D" w:rsidRDefault="006E3B34" w:rsidP="0092151D">
      <w:pPr>
        <w:rPr>
          <w:noProof/>
          <w:lang w:eastAsia="ko-KR"/>
        </w:rPr>
      </w:pPr>
      <w:r>
        <w:rPr>
          <w:noProof/>
          <w:lang w:eastAsia="ko-KR"/>
        </w:rPr>
        <w:t>A</w:t>
      </w:r>
      <w:r w:rsidR="0092151D">
        <w:rPr>
          <w:noProof/>
          <w:lang w:eastAsia="ko-KR"/>
        </w:rPr>
        <w:t xml:space="preserve"> Data volume threshold </w:t>
      </w:r>
      <w:r w:rsidR="0015217B">
        <w:rPr>
          <w:noProof/>
          <w:lang w:eastAsia="ko-KR"/>
        </w:rPr>
        <w:t xml:space="preserve">should </w:t>
      </w:r>
      <w:r w:rsidR="0092151D">
        <w:rPr>
          <w:noProof/>
          <w:lang w:eastAsia="ko-KR"/>
        </w:rPr>
        <w:t>be defined</w:t>
      </w:r>
      <w:r>
        <w:rPr>
          <w:noProof/>
          <w:lang w:eastAsia="ko-KR"/>
        </w:rPr>
        <w:t xml:space="preserve"> for </w:t>
      </w:r>
      <w:r w:rsidR="008E2083">
        <w:rPr>
          <w:noProof/>
          <w:lang w:eastAsia="ko-KR"/>
        </w:rPr>
        <w:t>CG-</w:t>
      </w:r>
      <w:r>
        <w:rPr>
          <w:noProof/>
          <w:lang w:eastAsia="ko-KR"/>
        </w:rPr>
        <w:t>SDT</w:t>
      </w:r>
      <w:r w:rsidR="0092151D">
        <w:rPr>
          <w:noProof/>
          <w:lang w:eastAsia="ko-KR"/>
        </w:rPr>
        <w:t>. In case the</w:t>
      </w:r>
      <w:r w:rsidR="00905C45">
        <w:rPr>
          <w:noProof/>
          <w:lang w:eastAsia="ko-KR"/>
        </w:rPr>
        <w:t xml:space="preserve"> amount of </w:t>
      </w:r>
      <w:r w:rsidR="0092151D">
        <w:rPr>
          <w:noProof/>
          <w:lang w:eastAsia="ko-KR"/>
        </w:rPr>
        <w:t>data in the buffer</w:t>
      </w:r>
      <w:r w:rsidR="00905C45">
        <w:rPr>
          <w:noProof/>
          <w:lang w:eastAsia="ko-KR"/>
        </w:rPr>
        <w:t xml:space="preserve"> for the LCH configured for CG</w:t>
      </w:r>
      <w:r w:rsidR="0092151D">
        <w:rPr>
          <w:noProof/>
          <w:lang w:eastAsia="ko-KR"/>
        </w:rPr>
        <w:t xml:space="preserve"> is above the Data volume threshold, the CG is not valid. In th</w:t>
      </w:r>
      <w:r w:rsidR="00442DED">
        <w:rPr>
          <w:noProof/>
          <w:lang w:eastAsia="ko-KR"/>
        </w:rPr>
        <w:t>is</w:t>
      </w:r>
      <w:r w:rsidR="0092151D">
        <w:rPr>
          <w:noProof/>
          <w:lang w:eastAsia="ko-KR"/>
        </w:rPr>
        <w:t xml:space="preserve"> case the UE will need to revert to either a RACH based SDT access, assuming conditions for this are fulfilled, or otherwise to legacy connection resume procedure.</w:t>
      </w:r>
    </w:p>
    <w:p w14:paraId="64085CAA" w14:textId="77777777" w:rsidR="0092151D" w:rsidRDefault="0092151D" w:rsidP="0092151D">
      <w:pPr>
        <w:pStyle w:val="Proposal"/>
        <w:tabs>
          <w:tab w:val="clear" w:pos="1304"/>
        </w:tabs>
        <w:ind w:left="1701" w:hanging="1701"/>
        <w:rPr>
          <w:noProof/>
          <w:lang w:eastAsia="ko-KR"/>
        </w:rPr>
      </w:pPr>
      <w:bookmarkStart w:id="4" w:name="_Toc61534644"/>
      <w:r>
        <w:t>Introduce a Data volume threshold for when the configured CG is valid.</w:t>
      </w:r>
      <w:bookmarkEnd w:id="4"/>
    </w:p>
    <w:p w14:paraId="26ED238A" w14:textId="77777777" w:rsidR="0092151D" w:rsidRPr="000D00E4" w:rsidRDefault="0092151D" w:rsidP="00C05D9B">
      <w:pPr>
        <w:pStyle w:val="Proposal"/>
        <w:numPr>
          <w:ilvl w:val="0"/>
          <w:numId w:val="0"/>
        </w:numPr>
        <w:ind w:left="1304" w:hanging="1304"/>
        <w:rPr>
          <w:noProof/>
          <w:lang w:eastAsia="ko-KR"/>
        </w:rPr>
      </w:pPr>
    </w:p>
    <w:p w14:paraId="79DD35F8" w14:textId="08BD7D40" w:rsidR="006D43D7" w:rsidRDefault="00C94C69" w:rsidP="006D43D7">
      <w:pPr>
        <w:pStyle w:val="Heading3"/>
        <w:rPr>
          <w:noProof/>
          <w:lang w:eastAsia="ko-KR"/>
        </w:rPr>
      </w:pPr>
      <w:r>
        <w:rPr>
          <w:noProof/>
          <w:lang w:eastAsia="ko-KR"/>
        </w:rPr>
        <w:lastRenderedPageBreak/>
        <w:t>2.</w:t>
      </w:r>
      <w:r w:rsidR="009F13D0">
        <w:rPr>
          <w:noProof/>
          <w:lang w:eastAsia="ko-KR"/>
        </w:rPr>
        <w:t>2</w:t>
      </w:r>
      <w:r>
        <w:rPr>
          <w:noProof/>
          <w:lang w:eastAsia="ko-KR"/>
        </w:rPr>
        <w:tab/>
      </w:r>
      <w:r w:rsidR="006D43D7">
        <w:rPr>
          <w:noProof/>
          <w:lang w:eastAsia="ko-KR"/>
        </w:rPr>
        <w:t>Time Alignment</w:t>
      </w:r>
    </w:p>
    <w:p w14:paraId="35B3CB1F" w14:textId="1B369659" w:rsidR="00A75284" w:rsidRDefault="006D43D7" w:rsidP="000D00E4">
      <w:pPr>
        <w:rPr>
          <w:noProof/>
          <w:lang w:eastAsia="ko-KR"/>
        </w:rPr>
      </w:pPr>
      <w:r>
        <w:rPr>
          <w:noProof/>
          <w:lang w:eastAsia="ko-KR"/>
        </w:rPr>
        <w:t>It</w:t>
      </w:r>
      <w:r w:rsidR="003B4933">
        <w:rPr>
          <w:noProof/>
          <w:lang w:eastAsia="ko-KR"/>
        </w:rPr>
        <w:t xml:space="preserve"> can be assumed that for the use of </w:t>
      </w:r>
      <w:r w:rsidR="00FB7A73">
        <w:rPr>
          <w:noProof/>
          <w:lang w:eastAsia="ko-KR"/>
        </w:rPr>
        <w:t>any CG type</w:t>
      </w:r>
      <w:r w:rsidR="003B4933">
        <w:rPr>
          <w:noProof/>
          <w:lang w:eastAsia="ko-KR"/>
        </w:rPr>
        <w:t xml:space="preserve"> configuration, frame synchronization is needed. As </w:t>
      </w:r>
      <w:r w:rsidR="00A75284">
        <w:rPr>
          <w:noProof/>
          <w:lang w:eastAsia="ko-KR"/>
        </w:rPr>
        <w:t>been discussed in</w:t>
      </w:r>
      <w:r w:rsidR="003411CA">
        <w:rPr>
          <w:noProof/>
          <w:lang w:eastAsia="ko-KR"/>
        </w:rPr>
        <w:t xml:space="preserve"> </w:t>
      </w:r>
      <w:r w:rsidR="002A4441" w:rsidRPr="00C05D9B">
        <w:rPr>
          <w:lang w:eastAsia="ko-KR"/>
        </w:rPr>
        <w:fldChar w:fldCharType="begin"/>
      </w:r>
      <w:r w:rsidR="002A4441" w:rsidRPr="00B370F8">
        <w:rPr>
          <w:lang w:eastAsia="ko-KR"/>
        </w:rPr>
        <w:instrText xml:space="preserve"> REF _Ref61508404 \r \h </w:instrText>
      </w:r>
      <w:r w:rsidR="003411CA">
        <w:rPr>
          <w:noProof/>
          <w:lang w:eastAsia="ko-KR"/>
        </w:rPr>
        <w:instrText xml:space="preserve"> \* MERGEFORMAT </w:instrText>
      </w:r>
      <w:r w:rsidR="002A4441" w:rsidRPr="002C175E">
        <w:rPr>
          <w:noProof/>
          <w:lang w:eastAsia="ko-KR"/>
        </w:rPr>
      </w:r>
      <w:r w:rsidR="002A4441" w:rsidRPr="00C05D9B">
        <w:rPr>
          <w:lang w:eastAsia="ko-KR"/>
        </w:rPr>
        <w:fldChar w:fldCharType="separate"/>
      </w:r>
      <w:r w:rsidR="002A4441" w:rsidRPr="00B370F8">
        <w:rPr>
          <w:lang w:eastAsia="ko-KR"/>
        </w:rPr>
        <w:t>[2]</w:t>
      </w:r>
      <w:r w:rsidR="002A4441" w:rsidRPr="00C05D9B">
        <w:rPr>
          <w:lang w:eastAsia="ko-KR"/>
        </w:rPr>
        <w:fldChar w:fldCharType="end"/>
      </w:r>
      <w:r w:rsidR="00A75284" w:rsidRPr="003411CA">
        <w:rPr>
          <w:noProof/>
          <w:lang w:eastAsia="ko-KR"/>
        </w:rPr>
        <w:t>,</w:t>
      </w:r>
      <w:r w:rsidR="00A75284">
        <w:rPr>
          <w:noProof/>
          <w:lang w:eastAsia="ko-KR"/>
        </w:rPr>
        <w:t xml:space="preserve"> both a </w:t>
      </w:r>
      <w:r w:rsidR="00B0622A">
        <w:rPr>
          <w:noProof/>
          <w:lang w:eastAsia="ko-KR"/>
        </w:rPr>
        <w:t xml:space="preserve">time alignment timer </w:t>
      </w:r>
      <w:r w:rsidR="00ED68EF">
        <w:rPr>
          <w:noProof/>
          <w:lang w:eastAsia="ko-KR"/>
        </w:rPr>
        <w:t xml:space="preserve">(TAT) </w:t>
      </w:r>
      <w:r w:rsidR="00B0622A">
        <w:rPr>
          <w:noProof/>
          <w:lang w:eastAsia="ko-KR"/>
        </w:rPr>
        <w:t xml:space="preserve">for </w:t>
      </w:r>
      <w:r w:rsidR="00B0622A" w:rsidRPr="00B0622A">
        <w:rPr>
          <w:noProof/>
          <w:lang w:eastAsia="ko-KR"/>
        </w:rPr>
        <w:t xml:space="preserve">Serving Cells associated with the Timing Advance Group </w:t>
      </w:r>
      <w:r w:rsidR="00ED68EF">
        <w:rPr>
          <w:noProof/>
          <w:lang w:eastAsia="ko-KR"/>
        </w:rPr>
        <w:t xml:space="preserve">(TAG) </w:t>
      </w:r>
      <w:r w:rsidR="005D065E">
        <w:rPr>
          <w:noProof/>
          <w:lang w:eastAsia="ko-KR"/>
        </w:rPr>
        <w:t>and</w:t>
      </w:r>
      <w:r w:rsidR="00A75284">
        <w:rPr>
          <w:noProof/>
          <w:lang w:eastAsia="ko-KR"/>
        </w:rPr>
        <w:t xml:space="preserve"> the RSRP will be used to determine if the UE is time aligned. The UE will be considered time aligned if the TAT is running and the RSRP is within certain thresholds. The use of RSRP is to ensure that the UE is stationary.</w:t>
      </w:r>
    </w:p>
    <w:p w14:paraId="423DE55D" w14:textId="6AEA1AB5" w:rsidR="00867FDE" w:rsidRDefault="005A17C9" w:rsidP="000D00E4">
      <w:pPr>
        <w:rPr>
          <w:noProof/>
          <w:lang w:val="en-US" w:eastAsia="ko-KR"/>
        </w:rPr>
      </w:pPr>
      <w:r>
        <w:rPr>
          <w:noProof/>
          <w:lang w:eastAsia="ko-KR"/>
        </w:rPr>
        <w:t xml:space="preserve">Maintained time alignment also assumes a stationary UE. Similar to PUR, having </w:t>
      </w:r>
      <w:r w:rsidRPr="00192C8E">
        <w:rPr>
          <w:noProof/>
          <w:lang w:val="en-US" w:eastAsia="ko-KR"/>
        </w:rPr>
        <w:t>a</w:t>
      </w:r>
      <w:r w:rsidRPr="005A17C9">
        <w:rPr>
          <w:lang w:eastAsia="ko-KR"/>
        </w:rPr>
        <w:t xml:space="preserve"> beam change criterion for CG TA validation</w:t>
      </w:r>
      <w:r w:rsidRPr="00192C8E">
        <w:rPr>
          <w:noProof/>
          <w:lang w:val="en-US" w:eastAsia="ko-KR"/>
        </w:rPr>
        <w:t xml:space="preserve"> should be sufficient</w:t>
      </w:r>
      <w:r w:rsidRPr="00177382">
        <w:rPr>
          <w:noProof/>
          <w:lang w:val="en-US" w:eastAsia="ko-KR"/>
        </w:rPr>
        <w:t>. This means that</w:t>
      </w:r>
      <w:r w:rsidRPr="00177382">
        <w:rPr>
          <w:lang w:eastAsia="ko-KR"/>
        </w:rPr>
        <w:t xml:space="preserve"> if the beam has changed</w:t>
      </w:r>
      <w:r w:rsidR="005446CB">
        <w:rPr>
          <w:lang w:eastAsia="ko-KR"/>
        </w:rPr>
        <w:t xml:space="preserve"> (e.g</w:t>
      </w:r>
      <w:r w:rsidR="007820C8">
        <w:rPr>
          <w:lang w:eastAsia="ko-KR"/>
        </w:rPr>
        <w:t>.</w:t>
      </w:r>
      <w:r w:rsidR="005446CB">
        <w:rPr>
          <w:lang w:eastAsia="ko-KR"/>
        </w:rPr>
        <w:t xml:space="preserve"> </w:t>
      </w:r>
      <w:r w:rsidR="0041352F">
        <w:rPr>
          <w:lang w:eastAsia="ko-KR"/>
        </w:rPr>
        <w:t>the SSB with highest RSRP)</w:t>
      </w:r>
      <w:r w:rsidRPr="00177382">
        <w:rPr>
          <w:lang w:eastAsia="ko-KR"/>
        </w:rPr>
        <w:t xml:space="preserve"> </w:t>
      </w:r>
      <w:r w:rsidRPr="00177382">
        <w:rPr>
          <w:noProof/>
          <w:lang w:val="en-US" w:eastAsia="ko-KR"/>
        </w:rPr>
        <w:t>this</w:t>
      </w:r>
      <w:r w:rsidRPr="00177382">
        <w:rPr>
          <w:lang w:eastAsia="ko-KR"/>
        </w:rPr>
        <w:t xml:space="preserve"> should be considered as if the UE is </w:t>
      </w:r>
      <w:r w:rsidR="00C37741" w:rsidRPr="00177382">
        <w:rPr>
          <w:noProof/>
          <w:lang w:val="en-US" w:eastAsia="ko-KR"/>
        </w:rPr>
        <w:t xml:space="preserve">in </w:t>
      </w:r>
      <w:r w:rsidRPr="00177382">
        <w:rPr>
          <w:lang w:eastAsia="ko-KR"/>
        </w:rPr>
        <w:t>mobil</w:t>
      </w:r>
      <w:r w:rsidR="00C37741" w:rsidRPr="00177382">
        <w:rPr>
          <w:noProof/>
          <w:lang w:val="en-US" w:eastAsia="ko-KR"/>
        </w:rPr>
        <w:t>ity</w:t>
      </w:r>
      <w:r w:rsidRPr="00177382">
        <w:rPr>
          <w:lang w:eastAsia="ko-KR"/>
        </w:rPr>
        <w:t xml:space="preserve"> and </w:t>
      </w:r>
      <w:r w:rsidR="007820C8">
        <w:rPr>
          <w:lang w:eastAsia="ko-KR"/>
        </w:rPr>
        <w:t xml:space="preserve">the </w:t>
      </w:r>
      <w:r w:rsidRPr="00177382">
        <w:rPr>
          <w:lang w:eastAsia="ko-KR"/>
        </w:rPr>
        <w:t>CG config</w:t>
      </w:r>
      <w:r w:rsidR="007820C8">
        <w:rPr>
          <w:lang w:eastAsia="ko-KR"/>
        </w:rPr>
        <w:t>uration</w:t>
      </w:r>
      <w:r w:rsidRPr="00177382">
        <w:rPr>
          <w:lang w:eastAsia="ko-KR"/>
        </w:rPr>
        <w:t xml:space="preserve"> should be released.</w:t>
      </w:r>
      <w:r w:rsidRPr="00192C8E">
        <w:rPr>
          <w:noProof/>
          <w:lang w:val="en-US" w:eastAsia="ko-KR"/>
        </w:rPr>
        <w:t xml:space="preserve"> </w:t>
      </w:r>
      <w:r w:rsidR="009772A9">
        <w:rPr>
          <w:noProof/>
          <w:lang w:val="en-US" w:eastAsia="ko-KR"/>
        </w:rPr>
        <w:t xml:space="preserve">There </w:t>
      </w:r>
      <w:r w:rsidR="00B661D2">
        <w:rPr>
          <w:noProof/>
          <w:lang w:val="en-US" w:eastAsia="ko-KR"/>
        </w:rPr>
        <w:t>would then be thre</w:t>
      </w:r>
      <w:r w:rsidR="000163C5">
        <w:rPr>
          <w:noProof/>
          <w:lang w:val="en-US" w:eastAsia="ko-KR"/>
        </w:rPr>
        <w:t>e</w:t>
      </w:r>
      <w:r w:rsidR="00B661D2">
        <w:rPr>
          <w:noProof/>
          <w:lang w:val="en-US" w:eastAsia="ko-KR"/>
        </w:rPr>
        <w:t xml:space="preserve"> conditions for a UE to be time aligned</w:t>
      </w:r>
      <w:r w:rsidR="00867FDE">
        <w:rPr>
          <w:noProof/>
          <w:lang w:val="en-US" w:eastAsia="ko-KR"/>
        </w:rPr>
        <w:t>:</w:t>
      </w:r>
    </w:p>
    <w:p w14:paraId="7D1FCDF4" w14:textId="7DCFF06F" w:rsidR="00867FDE" w:rsidRPr="00C05D9B" w:rsidRDefault="00867FDE" w:rsidP="00C05D9B">
      <w:pPr>
        <w:pStyle w:val="ListParagraph"/>
        <w:numPr>
          <w:ilvl w:val="0"/>
          <w:numId w:val="32"/>
        </w:numPr>
        <w:rPr>
          <w:rFonts w:ascii="Times New Roman" w:hAnsi="Times New Roman"/>
          <w:sz w:val="20"/>
          <w:szCs w:val="20"/>
          <w:lang w:val="en-US" w:eastAsia="ko-KR"/>
        </w:rPr>
      </w:pPr>
      <w:r w:rsidRPr="00C05D9B">
        <w:rPr>
          <w:rFonts w:ascii="Times New Roman" w:hAnsi="Times New Roman"/>
          <w:sz w:val="20"/>
          <w:szCs w:val="20"/>
          <w:lang w:val="en-US" w:eastAsia="ko-KR"/>
        </w:rPr>
        <w:t>TAT is running</w:t>
      </w:r>
    </w:p>
    <w:p w14:paraId="7B11D0A7" w14:textId="2D9DAB9D" w:rsidR="00867FDE" w:rsidRPr="00C05D9B" w:rsidRDefault="00867FDE" w:rsidP="00C05D9B">
      <w:pPr>
        <w:pStyle w:val="ListParagraph"/>
        <w:numPr>
          <w:ilvl w:val="0"/>
          <w:numId w:val="32"/>
        </w:numPr>
        <w:rPr>
          <w:rFonts w:ascii="Times New Roman" w:hAnsi="Times New Roman"/>
          <w:sz w:val="20"/>
          <w:szCs w:val="20"/>
          <w:lang w:val="en-US" w:eastAsia="ko-KR"/>
        </w:rPr>
      </w:pPr>
      <w:r w:rsidRPr="00C05D9B">
        <w:rPr>
          <w:rFonts w:ascii="Times New Roman" w:hAnsi="Times New Roman"/>
          <w:sz w:val="20"/>
          <w:szCs w:val="20"/>
          <w:lang w:val="en-US" w:eastAsia="ko-KR"/>
        </w:rPr>
        <w:t>SSB with high</w:t>
      </w:r>
      <w:r w:rsidR="00FB72D9">
        <w:rPr>
          <w:rFonts w:ascii="Times New Roman" w:hAnsi="Times New Roman"/>
          <w:noProof/>
          <w:sz w:val="20"/>
          <w:szCs w:val="20"/>
          <w:lang w:val="en-US" w:eastAsia="ko-KR"/>
        </w:rPr>
        <w:t>e</w:t>
      </w:r>
      <w:r w:rsidRPr="00C05D9B">
        <w:rPr>
          <w:rFonts w:ascii="Times New Roman" w:hAnsi="Times New Roman"/>
          <w:sz w:val="20"/>
          <w:szCs w:val="20"/>
          <w:lang w:val="en-US" w:eastAsia="ko-KR"/>
        </w:rPr>
        <w:t>st RSRP has not changed</w:t>
      </w:r>
    </w:p>
    <w:p w14:paraId="754A056C" w14:textId="77777777" w:rsidR="00867FDE" w:rsidRPr="00C05D9B" w:rsidRDefault="00867FDE" w:rsidP="00C05D9B">
      <w:pPr>
        <w:pStyle w:val="ListParagraph"/>
        <w:numPr>
          <w:ilvl w:val="0"/>
          <w:numId w:val="32"/>
        </w:numPr>
        <w:rPr>
          <w:rFonts w:ascii="Times New Roman" w:hAnsi="Times New Roman"/>
          <w:sz w:val="20"/>
          <w:szCs w:val="20"/>
          <w:lang w:val="en-US" w:eastAsia="ko-KR"/>
        </w:rPr>
      </w:pPr>
      <w:r w:rsidRPr="00C05D9B">
        <w:rPr>
          <w:rFonts w:ascii="Times New Roman" w:hAnsi="Times New Roman"/>
          <w:sz w:val="20"/>
          <w:szCs w:val="20"/>
          <w:lang w:val="en-US" w:eastAsia="ko-KR"/>
        </w:rPr>
        <w:t xml:space="preserve">RSRP is within </w:t>
      </w:r>
      <w:r w:rsidR="00EC112F" w:rsidRPr="00C05D9B">
        <w:rPr>
          <w:rFonts w:ascii="Times New Roman" w:hAnsi="Times New Roman"/>
          <w:sz w:val="20"/>
          <w:szCs w:val="20"/>
          <w:lang w:val="en-US" w:eastAsia="ko-KR"/>
        </w:rPr>
        <w:t>configurable thresholds</w:t>
      </w:r>
    </w:p>
    <w:p w14:paraId="11C50720" w14:textId="77777777" w:rsidR="00657D96" w:rsidRPr="00C05D9B" w:rsidRDefault="00657D96" w:rsidP="00C05D9B">
      <w:pPr>
        <w:pStyle w:val="ListParagraph"/>
        <w:rPr>
          <w:lang w:val="en-US" w:eastAsia="ko-KR"/>
        </w:rPr>
      </w:pPr>
    </w:p>
    <w:p w14:paraId="6C2C6DB3" w14:textId="6AA20559" w:rsidR="005A17C9" w:rsidRDefault="009503D0" w:rsidP="000D00E4">
      <w:pPr>
        <w:rPr>
          <w:noProof/>
          <w:lang w:eastAsia="ko-KR"/>
        </w:rPr>
      </w:pPr>
      <w:r>
        <w:rPr>
          <w:noProof/>
          <w:lang w:val="en-US" w:eastAsia="ko-KR"/>
        </w:rPr>
        <w:t>We believe this behavior is simple and we see little benefit of keeping CG configuration which at some point in time is not time aligned.</w:t>
      </w:r>
      <w:r w:rsidR="004465C1">
        <w:rPr>
          <w:noProof/>
          <w:lang w:val="en-US" w:eastAsia="ko-KR"/>
        </w:rPr>
        <w:t xml:space="preserve"> </w:t>
      </w:r>
      <w:r w:rsidR="006E0AB3">
        <w:rPr>
          <w:noProof/>
          <w:lang w:val="en-US" w:eastAsia="ko-KR"/>
        </w:rPr>
        <w:t>It would further complicate</w:t>
      </w:r>
      <w:r w:rsidR="00BF4234">
        <w:rPr>
          <w:noProof/>
          <w:lang w:val="en-US" w:eastAsia="ko-KR"/>
        </w:rPr>
        <w:t xml:space="preserve"> things if the configuration was kept if the RSRP threshold would be fulfilled after a number of missed transmission opportunities as this would not be </w:t>
      </w:r>
      <w:r w:rsidR="001A6430">
        <w:rPr>
          <w:noProof/>
          <w:lang w:val="en-US" w:eastAsia="ko-KR"/>
        </w:rPr>
        <w:t xml:space="preserve"> distinguishable from UL skipping from the gNB.</w:t>
      </w:r>
      <w:r w:rsidR="009D3AA6">
        <w:rPr>
          <w:noProof/>
          <w:lang w:val="en-US" w:eastAsia="ko-KR"/>
        </w:rPr>
        <w:t xml:space="preserve"> </w:t>
      </w:r>
      <w:r w:rsidR="004465C1">
        <w:rPr>
          <w:noProof/>
          <w:lang w:val="en-US" w:eastAsia="ko-KR"/>
        </w:rPr>
        <w:t>In case the gNB wishes to keep the CG configuration active</w:t>
      </w:r>
      <w:r w:rsidR="009D3AA6">
        <w:rPr>
          <w:noProof/>
          <w:lang w:val="en-US" w:eastAsia="ko-KR"/>
        </w:rPr>
        <w:t xml:space="preserve"> when TAT is about to expire</w:t>
      </w:r>
      <w:r w:rsidR="004465C1">
        <w:rPr>
          <w:noProof/>
          <w:lang w:val="en-US" w:eastAsia="ko-KR"/>
        </w:rPr>
        <w:t>, it can update</w:t>
      </w:r>
      <w:r w:rsidR="00A73A7C">
        <w:rPr>
          <w:noProof/>
          <w:lang w:val="en-US" w:eastAsia="ko-KR"/>
        </w:rPr>
        <w:t xml:space="preserve"> the</w:t>
      </w:r>
      <w:r w:rsidR="004465C1">
        <w:rPr>
          <w:noProof/>
          <w:lang w:val="en-US" w:eastAsia="ko-KR"/>
        </w:rPr>
        <w:t xml:space="preserve"> TA</w:t>
      </w:r>
      <w:r w:rsidR="00A73A7C">
        <w:rPr>
          <w:noProof/>
          <w:lang w:val="en-US" w:eastAsia="ko-KR"/>
        </w:rPr>
        <w:t xml:space="preserve"> before the TAT expires.</w:t>
      </w:r>
    </w:p>
    <w:p w14:paraId="26E6A951" w14:textId="1A9FD632" w:rsidR="00F50677" w:rsidRDefault="00BE2E4B" w:rsidP="00BD032D">
      <w:pPr>
        <w:pStyle w:val="Proposal"/>
        <w:tabs>
          <w:tab w:val="clear" w:pos="1304"/>
        </w:tabs>
        <w:ind w:left="1701" w:hanging="1701"/>
        <w:rPr>
          <w:noProof/>
          <w:lang w:eastAsia="ko-KR"/>
        </w:rPr>
      </w:pPr>
      <w:bookmarkStart w:id="5" w:name="_Toc61534645"/>
      <w:r>
        <w:rPr>
          <w:noProof/>
          <w:lang w:eastAsia="ko-KR"/>
        </w:rPr>
        <w:t>If the UE does not have a valid</w:t>
      </w:r>
      <w:r w:rsidR="0030394B">
        <w:rPr>
          <w:noProof/>
          <w:lang w:eastAsia="ko-KR"/>
        </w:rPr>
        <w:t xml:space="preserve"> time </w:t>
      </w:r>
      <w:r w:rsidR="004A48D7">
        <w:rPr>
          <w:noProof/>
          <w:lang w:eastAsia="ko-KR"/>
        </w:rPr>
        <w:t xml:space="preserve">aligment </w:t>
      </w:r>
      <w:r w:rsidR="00C603BA" w:rsidDel="009503D0">
        <w:rPr>
          <w:noProof/>
          <w:lang w:eastAsia="ko-KR"/>
        </w:rPr>
        <w:t>corresponding to a Configured Grant configuration</w:t>
      </w:r>
      <w:bookmarkStart w:id="6" w:name="_Toc61340447"/>
      <w:bookmarkStart w:id="7" w:name="_Toc61340629"/>
      <w:bookmarkStart w:id="8" w:name="_Toc61423502"/>
      <w:bookmarkStart w:id="9" w:name="_Toc61441819"/>
      <w:bookmarkStart w:id="10" w:name="_Toc54272462"/>
      <w:bookmarkEnd w:id="6"/>
      <w:bookmarkEnd w:id="7"/>
      <w:bookmarkEnd w:id="8"/>
      <w:bookmarkEnd w:id="9"/>
      <w:r w:rsidR="004A48D7">
        <w:rPr>
          <w:noProof/>
          <w:lang w:eastAsia="ko-KR"/>
        </w:rPr>
        <w:t xml:space="preserve">, the UE discards the </w:t>
      </w:r>
      <w:r w:rsidR="00EC0A58">
        <w:rPr>
          <w:noProof/>
          <w:lang w:eastAsia="ko-KR"/>
        </w:rPr>
        <w:t xml:space="preserve">CG </w:t>
      </w:r>
      <w:r w:rsidR="004A48D7">
        <w:rPr>
          <w:noProof/>
          <w:lang w:eastAsia="ko-KR"/>
        </w:rPr>
        <w:t>configuration.</w:t>
      </w:r>
      <w:bookmarkEnd w:id="5"/>
      <w:bookmarkEnd w:id="10"/>
      <w:r w:rsidR="004A48D7">
        <w:rPr>
          <w:noProof/>
          <w:lang w:eastAsia="ko-KR"/>
        </w:rPr>
        <w:t xml:space="preserve"> </w:t>
      </w:r>
    </w:p>
    <w:p w14:paraId="0C5541D7" w14:textId="0C937166" w:rsidR="005A17C9" w:rsidRDefault="005A17C9" w:rsidP="00BD032D">
      <w:pPr>
        <w:pStyle w:val="Proposal"/>
        <w:tabs>
          <w:tab w:val="clear" w:pos="1304"/>
        </w:tabs>
        <w:ind w:left="1701" w:hanging="1701"/>
        <w:rPr>
          <w:noProof/>
          <w:lang w:eastAsia="ko-KR"/>
        </w:rPr>
      </w:pPr>
      <w:bookmarkStart w:id="11" w:name="_Toc61534646"/>
      <w:r>
        <w:rPr>
          <w:noProof/>
          <w:lang w:eastAsia="ko-KR"/>
        </w:rPr>
        <w:t>RAN2 to discuss if a beam change result in that the CG config for SDT is released.</w:t>
      </w:r>
      <w:bookmarkEnd w:id="11"/>
    </w:p>
    <w:p w14:paraId="704A6D77" w14:textId="02025E31" w:rsidR="009503D0" w:rsidRDefault="009503D0" w:rsidP="000D00E4">
      <w:pPr>
        <w:rPr>
          <w:noProof/>
          <w:lang w:eastAsia="ko-KR"/>
        </w:rPr>
      </w:pPr>
    </w:p>
    <w:p w14:paraId="4DD7D6C3" w14:textId="289797DB" w:rsidR="00F33774" w:rsidRDefault="00F33774" w:rsidP="00F33774">
      <w:pPr>
        <w:pStyle w:val="Heading3"/>
        <w:rPr>
          <w:noProof/>
          <w:lang w:eastAsia="ko-KR"/>
        </w:rPr>
      </w:pPr>
      <w:r>
        <w:rPr>
          <w:noProof/>
          <w:lang w:eastAsia="ko-KR"/>
        </w:rPr>
        <w:t>2.</w:t>
      </w:r>
      <w:r w:rsidR="00274352">
        <w:rPr>
          <w:noProof/>
          <w:lang w:eastAsia="ko-KR"/>
        </w:rPr>
        <w:t>3</w:t>
      </w:r>
      <w:r>
        <w:rPr>
          <w:noProof/>
          <w:lang w:eastAsia="ko-KR"/>
        </w:rPr>
        <w:tab/>
        <w:t>Multiple CG</w:t>
      </w:r>
      <w:r w:rsidR="001B0753">
        <w:rPr>
          <w:noProof/>
          <w:lang w:eastAsia="ko-KR"/>
        </w:rPr>
        <w:t xml:space="preserve"> configurations</w:t>
      </w:r>
    </w:p>
    <w:p w14:paraId="24C876EE" w14:textId="0391DF70" w:rsidR="001B0753" w:rsidRPr="00C05D9B" w:rsidRDefault="001B0753" w:rsidP="00C05D9B">
      <w:pPr>
        <w:rPr>
          <w:lang w:eastAsia="ko-KR"/>
        </w:rPr>
      </w:pPr>
      <w:r>
        <w:rPr>
          <w:lang w:eastAsia="ko-KR"/>
        </w:rPr>
        <w:t xml:space="preserve">In Rel. 16, the gNB can configure a UE with several </w:t>
      </w:r>
      <w:r w:rsidR="0012741A">
        <w:rPr>
          <w:lang w:eastAsia="ko-KR"/>
        </w:rPr>
        <w:t xml:space="preserve">CG configurations. As has been discussed in </w:t>
      </w:r>
      <w:r w:rsidR="003411CA">
        <w:rPr>
          <w:lang w:eastAsia="ko-KR"/>
        </w:rPr>
        <w:fldChar w:fldCharType="begin"/>
      </w:r>
      <w:r w:rsidR="003411CA">
        <w:rPr>
          <w:lang w:eastAsia="ko-KR"/>
        </w:rPr>
        <w:instrText xml:space="preserve"> REF _Ref61508404 \r \h </w:instrText>
      </w:r>
      <w:r w:rsidR="003411CA">
        <w:rPr>
          <w:lang w:eastAsia="ko-KR"/>
        </w:rPr>
      </w:r>
      <w:r w:rsidR="003411CA">
        <w:rPr>
          <w:lang w:eastAsia="ko-KR"/>
        </w:rPr>
        <w:fldChar w:fldCharType="separate"/>
      </w:r>
      <w:r w:rsidR="003411CA">
        <w:rPr>
          <w:lang w:eastAsia="ko-KR"/>
        </w:rPr>
        <w:t>[2]</w:t>
      </w:r>
      <w:r w:rsidR="003411CA">
        <w:rPr>
          <w:lang w:eastAsia="ko-KR"/>
        </w:rPr>
        <w:fldChar w:fldCharType="end"/>
      </w:r>
      <w:r w:rsidR="00874265">
        <w:rPr>
          <w:lang w:eastAsia="ko-KR"/>
        </w:rPr>
        <w:t xml:space="preserve">, companies seem to have different views. We see some benefits </w:t>
      </w:r>
      <w:r w:rsidR="0017212B">
        <w:rPr>
          <w:lang w:eastAsia="ko-KR"/>
        </w:rPr>
        <w:t xml:space="preserve">to be able to configure different CG for different services </w:t>
      </w:r>
      <w:r w:rsidR="00B13A17">
        <w:rPr>
          <w:lang w:eastAsia="ko-KR"/>
        </w:rPr>
        <w:t>but probably not for</w:t>
      </w:r>
      <w:r w:rsidR="0017212B">
        <w:rPr>
          <w:lang w:eastAsia="ko-KR"/>
        </w:rPr>
        <w:t xml:space="preserve"> different beam associations, pending RAN1 input. </w:t>
      </w:r>
      <w:r w:rsidR="009366A9">
        <w:rPr>
          <w:lang w:eastAsia="ko-KR"/>
        </w:rPr>
        <w:t>We also see no reason</w:t>
      </w:r>
      <w:r w:rsidR="00C358B2">
        <w:rPr>
          <w:lang w:eastAsia="ko-KR"/>
        </w:rPr>
        <w:t xml:space="preserve"> not</w:t>
      </w:r>
      <w:r w:rsidR="00B200A9">
        <w:rPr>
          <w:lang w:eastAsia="ko-KR"/>
        </w:rPr>
        <w:t xml:space="preserve"> to</w:t>
      </w:r>
      <w:r w:rsidR="00D778B3">
        <w:rPr>
          <w:lang w:eastAsia="ko-KR"/>
        </w:rPr>
        <w:t xml:space="preserve"> follow legacy </w:t>
      </w:r>
      <w:r w:rsidR="00C358B2">
        <w:rPr>
          <w:lang w:eastAsia="ko-KR"/>
        </w:rPr>
        <w:t xml:space="preserve">in this case </w:t>
      </w:r>
      <w:r w:rsidR="00D778B3">
        <w:rPr>
          <w:lang w:eastAsia="ko-KR"/>
        </w:rPr>
        <w:t>and not impose additional restrictions</w:t>
      </w:r>
      <w:r w:rsidR="005B5897">
        <w:rPr>
          <w:lang w:eastAsia="ko-KR"/>
        </w:rPr>
        <w:t>.</w:t>
      </w:r>
      <w:r w:rsidR="009366A9">
        <w:rPr>
          <w:lang w:eastAsia="ko-KR"/>
        </w:rPr>
        <w:t xml:space="preserve"> Therefore </w:t>
      </w:r>
    </w:p>
    <w:p w14:paraId="6F9E072D" w14:textId="562A9821" w:rsidR="00F33774" w:rsidRDefault="005B5897" w:rsidP="00C05D9B">
      <w:pPr>
        <w:pStyle w:val="Proposal"/>
        <w:tabs>
          <w:tab w:val="clear" w:pos="1304"/>
        </w:tabs>
        <w:ind w:left="1701" w:hanging="1701"/>
        <w:rPr>
          <w:noProof/>
          <w:lang w:eastAsia="ko-KR"/>
        </w:rPr>
      </w:pPr>
      <w:bookmarkStart w:id="12" w:name="_Toc61534647"/>
      <w:r>
        <w:rPr>
          <w:noProof/>
          <w:lang w:eastAsia="ko-KR"/>
        </w:rPr>
        <w:t>It should be possible to</w:t>
      </w:r>
      <w:r w:rsidR="00274352">
        <w:rPr>
          <w:noProof/>
          <w:lang w:eastAsia="ko-KR"/>
        </w:rPr>
        <w:t xml:space="preserve"> configure several CG in the same serving cell</w:t>
      </w:r>
      <w:r w:rsidR="00B200A9">
        <w:rPr>
          <w:noProof/>
          <w:lang w:eastAsia="ko-KR"/>
        </w:rPr>
        <w:t xml:space="preserve"> for SDT</w:t>
      </w:r>
      <w:bookmarkEnd w:id="12"/>
    </w:p>
    <w:p w14:paraId="0B5F1B52" w14:textId="4490308C" w:rsidR="009503D0" w:rsidRDefault="00FB7A73" w:rsidP="009503D0">
      <w:pPr>
        <w:pStyle w:val="Heading3"/>
        <w:rPr>
          <w:noProof/>
          <w:lang w:eastAsia="ko-KR"/>
        </w:rPr>
      </w:pPr>
      <w:r>
        <w:rPr>
          <w:noProof/>
          <w:lang w:eastAsia="ko-KR"/>
        </w:rPr>
        <w:t xml:space="preserve"> </w:t>
      </w:r>
      <w:r w:rsidR="009503D0">
        <w:rPr>
          <w:noProof/>
          <w:lang w:eastAsia="ko-KR"/>
        </w:rPr>
        <w:t>2.</w:t>
      </w:r>
      <w:r w:rsidR="00274352">
        <w:rPr>
          <w:noProof/>
          <w:lang w:eastAsia="ko-KR"/>
        </w:rPr>
        <w:t>4</w:t>
      </w:r>
      <w:r w:rsidR="009503D0">
        <w:rPr>
          <w:noProof/>
          <w:lang w:eastAsia="ko-KR"/>
        </w:rPr>
        <w:tab/>
        <w:t>UL skipping</w:t>
      </w:r>
    </w:p>
    <w:p w14:paraId="7C31AD02" w14:textId="63019B18" w:rsidR="004671D2" w:rsidRPr="00AE646B" w:rsidRDefault="004671D2" w:rsidP="000D00E4">
      <w:pPr>
        <w:rPr>
          <w:lang w:val="en-US" w:eastAsia="ko-KR"/>
        </w:rPr>
      </w:pPr>
      <w:r>
        <w:rPr>
          <w:noProof/>
          <w:lang w:eastAsia="ko-KR"/>
        </w:rPr>
        <w:t>If a stationary UE configured with a Type 1 CG does not use a SDT configuration</w:t>
      </w:r>
      <w:r w:rsidR="00230DF0">
        <w:rPr>
          <w:noProof/>
          <w:lang w:eastAsia="ko-KR"/>
        </w:rPr>
        <w:t>,</w:t>
      </w:r>
      <w:r>
        <w:rPr>
          <w:noProof/>
          <w:lang w:eastAsia="ko-KR"/>
        </w:rPr>
        <w:t xml:space="preserve"> there </w:t>
      </w:r>
      <w:r w:rsidR="009175F0">
        <w:rPr>
          <w:noProof/>
          <w:lang w:eastAsia="ko-KR"/>
        </w:rPr>
        <w:t>is</w:t>
      </w:r>
      <w:r>
        <w:rPr>
          <w:noProof/>
          <w:lang w:eastAsia="ko-KR"/>
        </w:rPr>
        <w:t xml:space="preserve"> benefit for having </w:t>
      </w:r>
      <w:r w:rsidR="00230DF0">
        <w:rPr>
          <w:noProof/>
          <w:lang w:eastAsia="ko-KR"/>
        </w:rPr>
        <w:t xml:space="preserve">those </w:t>
      </w:r>
      <w:r>
        <w:rPr>
          <w:noProof/>
          <w:lang w:eastAsia="ko-KR"/>
        </w:rPr>
        <w:t xml:space="preserve">UEs </w:t>
      </w:r>
      <w:r w:rsidR="00230DF0">
        <w:rPr>
          <w:noProof/>
          <w:lang w:eastAsia="ko-KR"/>
        </w:rPr>
        <w:t>t</w:t>
      </w:r>
      <w:r>
        <w:rPr>
          <w:noProof/>
          <w:lang w:eastAsia="ko-KR"/>
        </w:rPr>
        <w:t xml:space="preserve">o release </w:t>
      </w:r>
      <w:r w:rsidR="00230DF0">
        <w:rPr>
          <w:noProof/>
          <w:lang w:eastAsia="ko-KR"/>
        </w:rPr>
        <w:t xml:space="preserve">the </w:t>
      </w:r>
      <w:r>
        <w:rPr>
          <w:noProof/>
          <w:lang w:eastAsia="ko-KR"/>
        </w:rPr>
        <w:t>CG configuration</w:t>
      </w:r>
      <w:r w:rsidR="009175F0">
        <w:rPr>
          <w:noProof/>
          <w:lang w:eastAsia="ko-KR"/>
        </w:rPr>
        <w:t xml:space="preserve"> without additional RRC signalling</w:t>
      </w:r>
      <w:r>
        <w:rPr>
          <w:noProof/>
          <w:lang w:eastAsia="ko-KR"/>
        </w:rPr>
        <w:t xml:space="preserve">. </w:t>
      </w:r>
      <w:r w:rsidR="00B668EA">
        <w:rPr>
          <w:noProof/>
          <w:lang w:eastAsia="ko-KR"/>
        </w:rPr>
        <w:t>This would be partic</w:t>
      </w:r>
      <w:r w:rsidR="009E0402">
        <w:rPr>
          <w:noProof/>
          <w:lang w:eastAsia="ko-KR"/>
        </w:rPr>
        <w:t xml:space="preserve">ularly useful when the CG </w:t>
      </w:r>
      <w:r w:rsidR="00D348F2">
        <w:rPr>
          <w:noProof/>
          <w:lang w:eastAsia="ko-KR"/>
        </w:rPr>
        <w:t xml:space="preserve">configuration </w:t>
      </w:r>
      <w:r w:rsidR="009E0402">
        <w:rPr>
          <w:noProof/>
          <w:lang w:eastAsia="ko-KR"/>
        </w:rPr>
        <w:t xml:space="preserve">is </w:t>
      </w:r>
      <w:r w:rsidR="00F3118E">
        <w:rPr>
          <w:noProof/>
          <w:lang w:eastAsia="ko-KR"/>
        </w:rPr>
        <w:t>provided</w:t>
      </w:r>
      <w:r w:rsidR="009E0402">
        <w:rPr>
          <w:noProof/>
          <w:lang w:eastAsia="ko-KR"/>
        </w:rPr>
        <w:t xml:space="preserve"> as a response to a RACH</w:t>
      </w:r>
      <w:r w:rsidR="00F3118E">
        <w:rPr>
          <w:noProof/>
          <w:lang w:eastAsia="ko-KR"/>
        </w:rPr>
        <w:t xml:space="preserve"> </w:t>
      </w:r>
      <w:r w:rsidR="009E0402">
        <w:rPr>
          <w:noProof/>
          <w:lang w:eastAsia="ko-KR"/>
        </w:rPr>
        <w:t>based SDT</w:t>
      </w:r>
      <w:r w:rsidR="00D348F2">
        <w:rPr>
          <w:noProof/>
          <w:lang w:eastAsia="ko-KR"/>
        </w:rPr>
        <w:t xml:space="preserve"> when only a few transmissions are expected. </w:t>
      </w:r>
      <w:r w:rsidR="00D652CB">
        <w:rPr>
          <w:noProof/>
          <w:lang w:eastAsia="ko-KR"/>
        </w:rPr>
        <w:t>Another c</w:t>
      </w:r>
      <w:r w:rsidR="00C34AE6">
        <w:rPr>
          <w:noProof/>
          <w:lang w:eastAsia="ko-KR"/>
        </w:rPr>
        <w:t>a</w:t>
      </w:r>
      <w:r w:rsidR="00D652CB">
        <w:rPr>
          <w:noProof/>
          <w:lang w:eastAsia="ko-KR"/>
        </w:rPr>
        <w:t xml:space="preserve">se is when gNB configures a very long </w:t>
      </w:r>
      <w:r w:rsidR="00C34AE6">
        <w:rPr>
          <w:noProof/>
          <w:lang w:eastAsia="ko-KR"/>
        </w:rPr>
        <w:t xml:space="preserve">TAT and the UE </w:t>
      </w:r>
      <w:r w:rsidR="0075157E">
        <w:rPr>
          <w:noProof/>
          <w:lang w:eastAsia="ko-KR"/>
        </w:rPr>
        <w:t>at some point runs out of data and does not need the CG</w:t>
      </w:r>
      <w:r w:rsidR="001E6578">
        <w:rPr>
          <w:noProof/>
          <w:lang w:eastAsia="ko-KR"/>
        </w:rPr>
        <w:t xml:space="preserve"> resources</w:t>
      </w:r>
      <w:r w:rsidR="0075157E">
        <w:rPr>
          <w:noProof/>
          <w:lang w:eastAsia="ko-KR"/>
        </w:rPr>
        <w:t xml:space="preserve"> anymore. </w:t>
      </w:r>
      <w:r>
        <w:rPr>
          <w:noProof/>
          <w:lang w:eastAsia="ko-KR"/>
        </w:rPr>
        <w:t>The</w:t>
      </w:r>
      <w:r w:rsidR="004D53BB">
        <w:rPr>
          <w:noProof/>
          <w:lang w:eastAsia="ko-KR"/>
        </w:rPr>
        <w:t>se</w:t>
      </w:r>
      <w:r>
        <w:rPr>
          <w:noProof/>
          <w:lang w:eastAsia="ko-KR"/>
        </w:rPr>
        <w:t xml:space="preserve"> resources can then be allocated to other UEs. A simple way would be to reuse skipping</w:t>
      </w:r>
      <w:r w:rsidR="004D53BB">
        <w:rPr>
          <w:noProof/>
          <w:lang w:eastAsia="ko-KR"/>
        </w:rPr>
        <w:t>,</w:t>
      </w:r>
      <w:r>
        <w:rPr>
          <w:noProof/>
          <w:lang w:eastAsia="ko-KR"/>
        </w:rPr>
        <w:t xml:space="preserve"> in that a UE skipping SDT CG resources for a configured number of time</w:t>
      </w:r>
      <w:r w:rsidR="00230DF0">
        <w:rPr>
          <w:noProof/>
          <w:lang w:eastAsia="ko-KR"/>
        </w:rPr>
        <w:t>s</w:t>
      </w:r>
      <w:r>
        <w:rPr>
          <w:noProof/>
          <w:lang w:eastAsia="ko-KR"/>
        </w:rPr>
        <w:t xml:space="preserve"> also release the CG configuration. </w:t>
      </w:r>
      <w:r w:rsidR="00230DF0" w:rsidRPr="00BD032D">
        <w:rPr>
          <w:lang w:val="en-US" w:eastAsia="ko-KR"/>
        </w:rPr>
        <w:t>I.e.</w:t>
      </w:r>
      <w:r w:rsidRPr="004671D2">
        <w:rPr>
          <w:lang w:eastAsia="ko-KR"/>
        </w:rPr>
        <w:t xml:space="preserve"> the configured uplink grant is released by upper layers</w:t>
      </w:r>
      <w:r w:rsidR="00230DF0" w:rsidRPr="00BD032D">
        <w:rPr>
          <w:lang w:val="en-US" w:eastAsia="ko-KR"/>
        </w:rPr>
        <w:t xml:space="preserve"> and</w:t>
      </w:r>
      <w:r w:rsidRPr="004671D2">
        <w:rPr>
          <w:lang w:eastAsia="ko-KR"/>
        </w:rPr>
        <w:t xml:space="preserve"> corresponding uplink grants </w:t>
      </w:r>
      <w:r w:rsidR="00230DF0" w:rsidRPr="00BD032D">
        <w:rPr>
          <w:lang w:val="en-US" w:eastAsia="ko-KR"/>
        </w:rPr>
        <w:t>is</w:t>
      </w:r>
      <w:r w:rsidRPr="004671D2">
        <w:rPr>
          <w:lang w:eastAsia="ko-KR"/>
        </w:rPr>
        <w:t xml:space="preserve"> cleared</w:t>
      </w:r>
      <w:r w:rsidR="00F15BEA" w:rsidRPr="00BD032D">
        <w:rPr>
          <w:lang w:val="en-US" w:eastAsia="ko-KR"/>
        </w:rPr>
        <w:t xml:space="preserve"> if the UE </w:t>
      </w:r>
      <w:r w:rsidR="000601F8">
        <w:rPr>
          <w:lang w:val="en-US" w:eastAsia="ko-KR"/>
        </w:rPr>
        <w:t>does not transmit on</w:t>
      </w:r>
      <w:r w:rsidR="000601F8" w:rsidRPr="00BD032D">
        <w:rPr>
          <w:lang w:val="en-US" w:eastAsia="ko-KR"/>
        </w:rPr>
        <w:t xml:space="preserve"> </w:t>
      </w:r>
      <w:r w:rsidR="00F15BEA" w:rsidRPr="00BD032D">
        <w:rPr>
          <w:lang w:val="en-US" w:eastAsia="ko-KR"/>
        </w:rPr>
        <w:t xml:space="preserve">a </w:t>
      </w:r>
      <w:r w:rsidR="00653353">
        <w:rPr>
          <w:lang w:val="en-US" w:eastAsia="ko-KR"/>
        </w:rPr>
        <w:t>configured</w:t>
      </w:r>
      <w:r w:rsidR="00653353" w:rsidRPr="00BD032D">
        <w:rPr>
          <w:lang w:val="en-US" w:eastAsia="ko-KR"/>
        </w:rPr>
        <w:t xml:space="preserve"> </w:t>
      </w:r>
      <w:r w:rsidR="00F15BEA" w:rsidRPr="00BD032D">
        <w:rPr>
          <w:lang w:val="en-US" w:eastAsia="ko-KR"/>
        </w:rPr>
        <w:t xml:space="preserve">number of </w:t>
      </w:r>
      <w:r w:rsidR="000601F8">
        <w:rPr>
          <w:lang w:val="en-US" w:eastAsia="ko-KR"/>
        </w:rPr>
        <w:t xml:space="preserve">subsequent </w:t>
      </w:r>
      <w:r w:rsidR="00F15BEA" w:rsidRPr="00BD032D">
        <w:rPr>
          <w:lang w:val="en-US" w:eastAsia="ko-KR"/>
        </w:rPr>
        <w:t>CG grants.</w:t>
      </w:r>
      <w:r w:rsidR="00F941A3" w:rsidRPr="00BD032D">
        <w:rPr>
          <w:lang w:val="en-US" w:eastAsia="ko-KR"/>
        </w:rPr>
        <w:t xml:space="preserve"> This would lessen the need for RRC reconfigurations and also lead to more efficient use of SDT with configured grants. </w:t>
      </w:r>
      <w:r w:rsidR="00F941A3" w:rsidRPr="00AE646B">
        <w:rPr>
          <w:lang w:val="en-US" w:eastAsia="ko-KR"/>
        </w:rPr>
        <w:t xml:space="preserve">Note that similar functionality already is defined for </w:t>
      </w:r>
      <w:r w:rsidR="004A48D7" w:rsidRPr="00AE646B">
        <w:rPr>
          <w:lang w:val="en-US" w:eastAsia="ko-KR"/>
        </w:rPr>
        <w:t xml:space="preserve">SPS in LTE and for </w:t>
      </w:r>
      <w:r w:rsidR="00F941A3" w:rsidRPr="00AE646B">
        <w:rPr>
          <w:lang w:val="en-US" w:eastAsia="ko-KR"/>
        </w:rPr>
        <w:t>PUR.</w:t>
      </w:r>
    </w:p>
    <w:p w14:paraId="05AC4892" w14:textId="5626203D" w:rsidR="004671D2" w:rsidRDefault="002F0103" w:rsidP="00BD032D">
      <w:pPr>
        <w:pStyle w:val="Proposal"/>
        <w:tabs>
          <w:tab w:val="clear" w:pos="1304"/>
        </w:tabs>
        <w:ind w:left="1701" w:hanging="1701"/>
        <w:rPr>
          <w:noProof/>
          <w:lang w:eastAsia="ko-KR"/>
        </w:rPr>
      </w:pPr>
      <w:bookmarkStart w:id="13" w:name="_Toc54272464"/>
      <w:bookmarkStart w:id="14" w:name="_Toc61534648"/>
      <w:r>
        <w:rPr>
          <w:noProof/>
          <w:lang w:eastAsia="ko-KR"/>
        </w:rPr>
        <w:t xml:space="preserve">The </w:t>
      </w:r>
      <w:r w:rsidR="004671D2">
        <w:rPr>
          <w:noProof/>
          <w:lang w:eastAsia="ko-KR"/>
        </w:rPr>
        <w:t>CG</w:t>
      </w:r>
      <w:r>
        <w:rPr>
          <w:noProof/>
          <w:lang w:eastAsia="ko-KR"/>
        </w:rPr>
        <w:t xml:space="preserve"> </w:t>
      </w:r>
      <w:r w:rsidR="00A61A97">
        <w:rPr>
          <w:noProof/>
          <w:lang w:eastAsia="ko-KR"/>
        </w:rPr>
        <w:t>is</w:t>
      </w:r>
      <w:r>
        <w:rPr>
          <w:noProof/>
          <w:lang w:eastAsia="ko-KR"/>
        </w:rPr>
        <w:t xml:space="preserve"> released</w:t>
      </w:r>
      <w:r w:rsidR="004671D2">
        <w:rPr>
          <w:noProof/>
          <w:lang w:eastAsia="ko-KR"/>
        </w:rPr>
        <w:t xml:space="preserve"> after skipping </w:t>
      </w:r>
      <w:r w:rsidR="00794BC2">
        <w:rPr>
          <w:noProof/>
          <w:lang w:eastAsia="ko-KR"/>
        </w:rPr>
        <w:t xml:space="preserve">a </w:t>
      </w:r>
      <w:r w:rsidR="00504887">
        <w:rPr>
          <w:noProof/>
          <w:lang w:eastAsia="ko-KR"/>
        </w:rPr>
        <w:t xml:space="preserve">configurable </w:t>
      </w:r>
      <w:r w:rsidR="00794BC2">
        <w:rPr>
          <w:noProof/>
          <w:lang w:eastAsia="ko-KR"/>
        </w:rPr>
        <w:t>number</w:t>
      </w:r>
      <w:r w:rsidR="00504887">
        <w:rPr>
          <w:noProof/>
          <w:lang w:eastAsia="ko-KR"/>
        </w:rPr>
        <w:t xml:space="preserve"> of</w:t>
      </w:r>
      <w:r w:rsidR="004671D2">
        <w:rPr>
          <w:noProof/>
          <w:lang w:eastAsia="ko-KR"/>
        </w:rPr>
        <w:t xml:space="preserve"> times</w:t>
      </w:r>
      <w:bookmarkEnd w:id="13"/>
      <w:bookmarkEnd w:id="14"/>
    </w:p>
    <w:p w14:paraId="70E4FF37" w14:textId="65B5DFB6" w:rsidR="003025C4" w:rsidRPr="00C05D9B" w:rsidRDefault="003025C4" w:rsidP="003025C4">
      <w:pPr>
        <w:pStyle w:val="Heading2"/>
        <w:rPr>
          <w:sz w:val="28"/>
          <w:szCs w:val="18"/>
        </w:rPr>
      </w:pPr>
      <w:bookmarkStart w:id="15" w:name="_Toc54270973"/>
      <w:bookmarkStart w:id="16" w:name="_Toc54271015"/>
      <w:bookmarkEnd w:id="15"/>
      <w:bookmarkEnd w:id="16"/>
      <w:r w:rsidRPr="00C05D9B">
        <w:rPr>
          <w:sz w:val="28"/>
          <w:szCs w:val="18"/>
        </w:rPr>
        <w:t>2.</w:t>
      </w:r>
      <w:r w:rsidR="00C44C9B" w:rsidRPr="00C05D9B">
        <w:rPr>
          <w:sz w:val="28"/>
          <w:szCs w:val="18"/>
        </w:rPr>
        <w:t>5</w:t>
      </w:r>
      <w:r w:rsidRPr="00C05D9B">
        <w:rPr>
          <w:sz w:val="28"/>
          <w:szCs w:val="18"/>
        </w:rPr>
        <w:tab/>
        <w:t xml:space="preserve">Beam handling </w:t>
      </w:r>
    </w:p>
    <w:p w14:paraId="5B8B7E36" w14:textId="1559680D" w:rsidR="003025C4" w:rsidRDefault="003025C4" w:rsidP="003025C4">
      <w:pPr>
        <w:rPr>
          <w:lang w:eastAsia="ko-KR"/>
        </w:rPr>
      </w:pPr>
      <w:r>
        <w:rPr>
          <w:lang w:eastAsia="ko-KR"/>
        </w:rPr>
        <w:t>As has been discussed, the use of beams may have impact on CG-based SDT. A configured CG will have a beam correspondence meaning that the UE transmits in a certain direction and the gNB listens in the same direction</w:t>
      </w:r>
      <w:r w:rsidR="00064BAE">
        <w:rPr>
          <w:lang w:eastAsia="ko-KR"/>
        </w:rPr>
        <w:t>, i.e. corresponding to a specific SSB</w:t>
      </w:r>
      <w:r>
        <w:rPr>
          <w:lang w:eastAsia="ko-KR"/>
        </w:rPr>
        <w:t xml:space="preserve">. A natural assumption is that the beam correspondence configured is the one that is used when the UE is sent from connected to inactive. </w:t>
      </w:r>
      <w:r w:rsidR="00FB42C4">
        <w:rPr>
          <w:lang w:eastAsia="ko-KR"/>
        </w:rPr>
        <w:t xml:space="preserve">The same is valid if the CG configuration is </w:t>
      </w:r>
      <w:r w:rsidR="008024CA">
        <w:rPr>
          <w:lang w:eastAsia="ko-KR"/>
        </w:rPr>
        <w:t xml:space="preserve">a response to a RA-SDT since the UE in this case will </w:t>
      </w:r>
      <w:r w:rsidR="008B7193">
        <w:rPr>
          <w:lang w:eastAsia="ko-KR"/>
        </w:rPr>
        <w:t>have indicated its best beam.</w:t>
      </w:r>
    </w:p>
    <w:p w14:paraId="6BD05635" w14:textId="70B3D854" w:rsidR="008A3482" w:rsidRDefault="00E122B9" w:rsidP="003025C4">
      <w:pPr>
        <w:rPr>
          <w:lang w:eastAsia="ko-KR"/>
        </w:rPr>
      </w:pPr>
      <w:r>
        <w:rPr>
          <w:lang w:eastAsia="ko-KR"/>
        </w:rPr>
        <w:lastRenderedPageBreak/>
        <w:t>In Rel-</w:t>
      </w:r>
      <w:r w:rsidR="009A1044">
        <w:rPr>
          <w:lang w:eastAsia="ko-KR"/>
        </w:rPr>
        <w:t>16</w:t>
      </w:r>
      <w:r>
        <w:rPr>
          <w:lang w:eastAsia="ko-KR"/>
        </w:rPr>
        <w:t xml:space="preserve">, it is possible to configure several CG in the same cell. This could </w:t>
      </w:r>
      <w:r w:rsidR="008725D6">
        <w:rPr>
          <w:lang w:eastAsia="ko-KR"/>
        </w:rPr>
        <w:t xml:space="preserve">in principle </w:t>
      </w:r>
      <w:r>
        <w:rPr>
          <w:lang w:eastAsia="ko-KR"/>
        </w:rPr>
        <w:t xml:space="preserve">be used to configure CG on different beams and thereby allow </w:t>
      </w:r>
      <w:r w:rsidR="0092354E">
        <w:rPr>
          <w:lang w:eastAsia="ko-KR"/>
        </w:rPr>
        <w:t xml:space="preserve">the UE to select the best beam and to allow </w:t>
      </w:r>
      <w:r>
        <w:rPr>
          <w:lang w:eastAsia="ko-KR"/>
        </w:rPr>
        <w:t>some movement of the UE. The UE</w:t>
      </w:r>
      <w:r w:rsidDel="008725D6">
        <w:rPr>
          <w:lang w:eastAsia="ko-KR"/>
        </w:rPr>
        <w:t xml:space="preserve"> </w:t>
      </w:r>
      <w:r w:rsidR="008725D6">
        <w:rPr>
          <w:lang w:eastAsia="ko-KR"/>
        </w:rPr>
        <w:t xml:space="preserve">would </w:t>
      </w:r>
      <w:r>
        <w:rPr>
          <w:lang w:eastAsia="ko-KR"/>
        </w:rPr>
        <w:t>simply use the configuration which matches the strongest SSB.</w:t>
      </w:r>
      <w:r w:rsidR="00BB0201">
        <w:rPr>
          <w:lang w:eastAsia="ko-KR"/>
        </w:rPr>
        <w:t xml:space="preserve"> </w:t>
      </w:r>
      <w:r w:rsidR="008725D6">
        <w:rPr>
          <w:lang w:eastAsia="ko-KR"/>
        </w:rPr>
        <w:t>However, for the reasons given above that the gNB already knows the best beam for the UE, i</w:t>
      </w:r>
      <w:r w:rsidR="00BB0201">
        <w:rPr>
          <w:lang w:eastAsia="ko-KR"/>
        </w:rPr>
        <w:t>t seems questionable that more than one association</w:t>
      </w:r>
      <w:r w:rsidR="0092354E">
        <w:rPr>
          <w:lang w:eastAsia="ko-KR"/>
        </w:rPr>
        <w:t xml:space="preserve"> i</w:t>
      </w:r>
      <w:r w:rsidR="00BB0201">
        <w:rPr>
          <w:lang w:eastAsia="ko-KR"/>
        </w:rPr>
        <w:t>s need</w:t>
      </w:r>
      <w:r w:rsidR="00E7310E">
        <w:rPr>
          <w:lang w:eastAsia="ko-KR"/>
        </w:rPr>
        <w:t>s</w:t>
      </w:r>
      <w:r w:rsidR="0092354E">
        <w:rPr>
          <w:lang w:eastAsia="ko-KR"/>
        </w:rPr>
        <w:t xml:space="preserve"> </w:t>
      </w:r>
      <w:r w:rsidR="00E7310E">
        <w:rPr>
          <w:lang w:eastAsia="ko-KR"/>
        </w:rPr>
        <w:t>t</w:t>
      </w:r>
      <w:r w:rsidR="00BB0201">
        <w:rPr>
          <w:lang w:eastAsia="ko-KR"/>
        </w:rPr>
        <w:t>o be configured</w:t>
      </w:r>
      <w:r w:rsidR="00E7310E">
        <w:rPr>
          <w:lang w:eastAsia="ko-KR"/>
        </w:rPr>
        <w:t xml:space="preserve"> in the basic use case</w:t>
      </w:r>
      <w:r w:rsidR="00BB0201">
        <w:rPr>
          <w:lang w:eastAsia="ko-KR"/>
        </w:rPr>
        <w:t xml:space="preserve"> </w:t>
      </w:r>
      <w:r w:rsidR="00B71EB6">
        <w:rPr>
          <w:lang w:eastAsia="ko-KR"/>
        </w:rPr>
        <w:t>of a stationary</w:t>
      </w:r>
      <w:r w:rsidR="00BB0201">
        <w:rPr>
          <w:lang w:eastAsia="ko-KR"/>
        </w:rPr>
        <w:t xml:space="preserve"> UE</w:t>
      </w:r>
      <w:r w:rsidR="00B71EB6">
        <w:rPr>
          <w:lang w:eastAsia="ko-KR"/>
        </w:rPr>
        <w:t>.</w:t>
      </w:r>
      <w:r w:rsidR="008A3482">
        <w:rPr>
          <w:lang w:eastAsia="ko-KR"/>
        </w:rPr>
        <w:t xml:space="preserve"> We therefor propose that</w:t>
      </w:r>
    </w:p>
    <w:p w14:paraId="7E276CE3" w14:textId="39374FD8" w:rsidR="008A3482" w:rsidRPr="00C05D9B" w:rsidRDefault="008A3482" w:rsidP="008A3482">
      <w:pPr>
        <w:pStyle w:val="Proposal"/>
        <w:tabs>
          <w:tab w:val="clear" w:pos="1304"/>
        </w:tabs>
        <w:ind w:left="1701" w:hanging="1701"/>
        <w:rPr>
          <w:lang w:eastAsia="ko-KR"/>
        </w:rPr>
      </w:pPr>
      <w:bookmarkStart w:id="17" w:name="_Toc61534649"/>
      <w:r w:rsidRPr="00C05D9B">
        <w:t xml:space="preserve">No selection algorithm for CG configurations </w:t>
      </w:r>
      <w:r w:rsidR="00A8039E" w:rsidRPr="00C05D9B">
        <w:t>with different beam associations is needed</w:t>
      </w:r>
      <w:bookmarkEnd w:id="17"/>
    </w:p>
    <w:p w14:paraId="58EB2FAD" w14:textId="098DD0A7" w:rsidR="003025C4" w:rsidRDefault="003025C4" w:rsidP="003025C4">
      <w:pPr>
        <w:rPr>
          <w:lang w:eastAsia="ko-KR"/>
        </w:rPr>
      </w:pPr>
    </w:p>
    <w:p w14:paraId="2DCAD9F5" w14:textId="208A4CB2" w:rsidR="00E122B9" w:rsidRPr="00C05D9B" w:rsidRDefault="00E122B9" w:rsidP="00E122B9">
      <w:pPr>
        <w:pStyle w:val="Heading2"/>
        <w:rPr>
          <w:sz w:val="28"/>
          <w:szCs w:val="18"/>
        </w:rPr>
      </w:pPr>
      <w:r w:rsidRPr="00C05D9B">
        <w:rPr>
          <w:sz w:val="28"/>
          <w:szCs w:val="18"/>
        </w:rPr>
        <w:t>2.</w:t>
      </w:r>
      <w:r w:rsidR="00C44C9B" w:rsidRPr="00C05D9B">
        <w:rPr>
          <w:sz w:val="28"/>
          <w:szCs w:val="18"/>
        </w:rPr>
        <w:t>6</w:t>
      </w:r>
      <w:r w:rsidRPr="00C05D9B">
        <w:rPr>
          <w:sz w:val="28"/>
          <w:szCs w:val="18"/>
        </w:rPr>
        <w:tab/>
        <w:t>SUL</w:t>
      </w:r>
    </w:p>
    <w:p w14:paraId="660BF1BC" w14:textId="74ACFAB7" w:rsidR="003E1882" w:rsidRDefault="003364E2" w:rsidP="00E122B9">
      <w:pPr>
        <w:rPr>
          <w:lang w:eastAsia="ko-KR"/>
        </w:rPr>
      </w:pPr>
      <w:r>
        <w:rPr>
          <w:lang w:eastAsia="ko-KR"/>
        </w:rPr>
        <w:t>In Rel 1</w:t>
      </w:r>
      <w:r w:rsidR="007205EC">
        <w:rPr>
          <w:lang w:eastAsia="ko-KR"/>
        </w:rPr>
        <w:t>6</w:t>
      </w:r>
      <w:r>
        <w:rPr>
          <w:lang w:eastAsia="ko-KR"/>
        </w:rPr>
        <w:t xml:space="preserve"> it is possible to configure </w:t>
      </w:r>
      <w:r w:rsidR="00E2595C">
        <w:rPr>
          <w:lang w:eastAsia="ko-KR"/>
        </w:rPr>
        <w:t>CG</w:t>
      </w:r>
      <w:r w:rsidR="00A8039E">
        <w:rPr>
          <w:lang w:eastAsia="ko-KR"/>
        </w:rPr>
        <w:t xml:space="preserve"> Type 1</w:t>
      </w:r>
      <w:r w:rsidR="00E2595C">
        <w:rPr>
          <w:lang w:eastAsia="ko-KR"/>
        </w:rPr>
        <w:t xml:space="preserve"> on NUL and SUL, but not simultaneously. </w:t>
      </w:r>
      <w:r w:rsidR="009400AD">
        <w:rPr>
          <w:lang w:eastAsia="ko-KR"/>
        </w:rPr>
        <w:t>This limits the burden on gNB since it does not need to monitor both carriers</w:t>
      </w:r>
      <w:r w:rsidR="002D195B">
        <w:rPr>
          <w:lang w:eastAsia="ko-KR"/>
        </w:rPr>
        <w:t xml:space="preserve">. </w:t>
      </w:r>
      <w:r w:rsidR="00324827">
        <w:rPr>
          <w:lang w:eastAsia="ko-KR"/>
        </w:rPr>
        <w:t xml:space="preserve">We believe this </w:t>
      </w:r>
      <w:r w:rsidR="00AD3404">
        <w:rPr>
          <w:lang w:eastAsia="ko-KR"/>
        </w:rPr>
        <w:t>does</w:t>
      </w:r>
      <w:r w:rsidR="00E122B9">
        <w:rPr>
          <w:lang w:eastAsia="ko-KR"/>
        </w:rPr>
        <w:t xml:space="preserve"> not allow active configurations on both NUL and SUL. </w:t>
      </w:r>
      <w:r w:rsidR="00AD3404">
        <w:rPr>
          <w:lang w:eastAsia="ko-KR"/>
        </w:rPr>
        <w:t xml:space="preserve">Similar to the case </w:t>
      </w:r>
      <w:r w:rsidR="00180BE8">
        <w:rPr>
          <w:lang w:eastAsia="ko-KR"/>
        </w:rPr>
        <w:t>with different beam associations we do not think this is necessary for the same reason as above</w:t>
      </w:r>
      <w:r w:rsidR="00AC34A1">
        <w:rPr>
          <w:lang w:eastAsia="ko-KR"/>
        </w:rPr>
        <w:t>:</w:t>
      </w:r>
      <w:r w:rsidR="00180BE8">
        <w:rPr>
          <w:lang w:eastAsia="ko-KR"/>
        </w:rPr>
        <w:t xml:space="preserve"> the gNB</w:t>
      </w:r>
      <w:r w:rsidR="00AC34A1">
        <w:rPr>
          <w:lang w:eastAsia="ko-KR"/>
        </w:rPr>
        <w:t xml:space="preserve"> already knows if the NUL or SUL should be used for the stationary UE. </w:t>
      </w:r>
      <w:r w:rsidR="000F1CA0">
        <w:rPr>
          <w:lang w:eastAsia="ko-KR"/>
        </w:rPr>
        <w:t xml:space="preserve">We therefore think that the discussion in </w:t>
      </w:r>
      <w:r w:rsidR="003411CA">
        <w:rPr>
          <w:lang w:eastAsia="ko-KR"/>
        </w:rPr>
        <w:fldChar w:fldCharType="begin"/>
      </w:r>
      <w:r w:rsidR="003411CA">
        <w:rPr>
          <w:lang w:eastAsia="ko-KR"/>
        </w:rPr>
        <w:instrText xml:space="preserve"> REF _Ref61508404 \r \h </w:instrText>
      </w:r>
      <w:r w:rsidR="003411CA">
        <w:rPr>
          <w:lang w:eastAsia="ko-KR"/>
        </w:rPr>
      </w:r>
      <w:r w:rsidR="003411CA">
        <w:rPr>
          <w:lang w:eastAsia="ko-KR"/>
        </w:rPr>
        <w:fldChar w:fldCharType="separate"/>
      </w:r>
      <w:r w:rsidR="003411CA">
        <w:rPr>
          <w:lang w:eastAsia="ko-KR"/>
        </w:rPr>
        <w:t>[2]</w:t>
      </w:r>
      <w:r w:rsidR="003411CA">
        <w:rPr>
          <w:lang w:eastAsia="ko-KR"/>
        </w:rPr>
        <w:fldChar w:fldCharType="end"/>
      </w:r>
      <w:r w:rsidR="003411CA">
        <w:rPr>
          <w:lang w:eastAsia="ko-KR"/>
        </w:rPr>
        <w:t xml:space="preserve"> </w:t>
      </w:r>
      <w:r w:rsidR="000F1CA0">
        <w:rPr>
          <w:lang w:eastAsia="ko-KR"/>
        </w:rPr>
        <w:t>should be clarified</w:t>
      </w:r>
      <w:r w:rsidR="003E1882">
        <w:rPr>
          <w:lang w:eastAsia="ko-KR"/>
        </w:rPr>
        <w:t xml:space="preserve"> by the following proposal</w:t>
      </w:r>
    </w:p>
    <w:p w14:paraId="7935482E" w14:textId="1198C301" w:rsidR="003E1882" w:rsidRPr="00C05D9B" w:rsidRDefault="003E1882" w:rsidP="003E1882">
      <w:pPr>
        <w:pStyle w:val="Proposal"/>
        <w:tabs>
          <w:tab w:val="clear" w:pos="1304"/>
        </w:tabs>
        <w:ind w:left="1701" w:hanging="1701"/>
        <w:rPr>
          <w:lang w:eastAsia="ko-KR"/>
        </w:rPr>
      </w:pPr>
      <w:bookmarkStart w:id="18" w:name="_Toc61534650"/>
      <w:r w:rsidRPr="00C05D9B">
        <w:t xml:space="preserve">The </w:t>
      </w:r>
      <w:r w:rsidR="00603916">
        <w:t>CG-</w:t>
      </w:r>
      <w:r w:rsidRPr="00C05D9B">
        <w:t>SDT resources are configured on either NUL or SUL</w:t>
      </w:r>
      <w:r w:rsidR="001303B9" w:rsidRPr="00C05D9B">
        <w:t xml:space="preserve">. </w:t>
      </w:r>
      <w:r w:rsidRPr="00C05D9B">
        <w:t xml:space="preserve">No selection algorithm for </w:t>
      </w:r>
      <w:r w:rsidR="001303B9" w:rsidRPr="00C05D9B">
        <w:t xml:space="preserve">use of </w:t>
      </w:r>
      <w:r w:rsidRPr="00C05D9B">
        <w:t xml:space="preserve">CG configurations </w:t>
      </w:r>
      <w:r w:rsidR="001303B9" w:rsidRPr="00C05D9B">
        <w:t>on NUL or SUL</w:t>
      </w:r>
      <w:r w:rsidRPr="00C05D9B">
        <w:t xml:space="preserve"> is needed</w:t>
      </w:r>
      <w:bookmarkEnd w:id="18"/>
    </w:p>
    <w:p w14:paraId="63B57287" w14:textId="5498E262" w:rsidR="00161FDA" w:rsidRPr="00C05D9B" w:rsidRDefault="00D97989" w:rsidP="00161FDA">
      <w:pPr>
        <w:pStyle w:val="Heading2"/>
        <w:rPr>
          <w:sz w:val="28"/>
          <w:szCs w:val="18"/>
        </w:rPr>
      </w:pPr>
      <w:r w:rsidRPr="00C05D9B" w:rsidDel="000C236B">
        <w:rPr>
          <w:sz w:val="28"/>
          <w:szCs w:val="18"/>
        </w:rPr>
        <w:t>2.</w:t>
      </w:r>
      <w:r w:rsidR="00F30353">
        <w:rPr>
          <w:sz w:val="28"/>
          <w:szCs w:val="18"/>
        </w:rPr>
        <w:t>7</w:t>
      </w:r>
      <w:bookmarkStart w:id="19" w:name="_GoBack"/>
      <w:bookmarkEnd w:id="19"/>
      <w:r w:rsidR="008A3990" w:rsidRPr="00C05D9B">
        <w:rPr>
          <w:sz w:val="28"/>
          <w:szCs w:val="18"/>
        </w:rPr>
        <w:tab/>
      </w:r>
      <w:r w:rsidR="00C07A83" w:rsidRPr="00C05D9B">
        <w:rPr>
          <w:sz w:val="28"/>
          <w:szCs w:val="18"/>
        </w:rPr>
        <w:t>Subsequent transmissions</w:t>
      </w:r>
      <w:r w:rsidR="00FE6227" w:rsidRPr="00C05D9B">
        <w:rPr>
          <w:sz w:val="28"/>
          <w:szCs w:val="18"/>
        </w:rPr>
        <w:t xml:space="preserve"> </w:t>
      </w:r>
    </w:p>
    <w:p w14:paraId="4E9E43A6" w14:textId="0CF72ED5" w:rsidR="000D56E6" w:rsidRDefault="00696880" w:rsidP="00696880">
      <w:r>
        <w:t xml:space="preserve">Similar to the RACH based SDT, </w:t>
      </w:r>
      <w:r w:rsidRPr="00696880">
        <w:t xml:space="preserve">there can be </w:t>
      </w:r>
      <w:r w:rsidR="004406A3">
        <w:t xml:space="preserve">situations where the data can not be transmitted in the </w:t>
      </w:r>
      <w:r w:rsidR="0054025E">
        <w:t xml:space="preserve">grant. To make the gNB aware of this there </w:t>
      </w:r>
      <w:r w:rsidR="00F67293">
        <w:t xml:space="preserve">are </w:t>
      </w:r>
      <w:r w:rsidRPr="00696880">
        <w:t xml:space="preserve">advantages of including assistance information in </w:t>
      </w:r>
      <w:r>
        <w:t>the SDT MAC PDU on CG</w:t>
      </w:r>
      <w:r w:rsidRPr="00696880">
        <w:t>. The assistance information is useful for gNB to determine if the UE should remain in inactive or be moved to connected</w:t>
      </w:r>
      <w:r w:rsidR="00F67293">
        <w:t xml:space="preserve"> and that a new grant is needed</w:t>
      </w:r>
      <w:r w:rsidRPr="00696880">
        <w:t xml:space="preserve">. A Data volume threshold </w:t>
      </w:r>
      <w:r>
        <w:t>can</w:t>
      </w:r>
      <w:r w:rsidRPr="00696880">
        <w:t xml:space="preserve"> be used partly to ensure SDT is not used for UEs who should rather go to connected immediately, i.e. by the legacy Resume procedure. This will keep SDT </w:t>
      </w:r>
      <w:r>
        <w:t>CG</w:t>
      </w:r>
      <w:r w:rsidRPr="00696880">
        <w:t xml:space="preserve"> resources free from UEs with lots of data and who are better served in connected mode. Assistance information such as a BSR could also indicate that the UE will</w:t>
      </w:r>
      <w:r w:rsidR="0095792D">
        <w:t xml:space="preserve"> benefit</w:t>
      </w:r>
      <w:r w:rsidR="009232B6">
        <w:t xml:space="preserve"> from</w:t>
      </w:r>
      <w:r w:rsidRPr="00696880" w:rsidDel="009232B6">
        <w:t xml:space="preserve"> </w:t>
      </w:r>
      <w:r w:rsidRPr="00696880">
        <w:t xml:space="preserve">a new grant to transmit the data in its buffer. Given the small grants and data amounts expected for SDT, the normal BSR triggering events and rules will create overhead. Several improvements are possible. For example, if the amount of data left in the buffer could be transmitted with a </w:t>
      </w:r>
      <w:r w:rsidR="000D56E6">
        <w:t>few more CG transmissions</w:t>
      </w:r>
      <w:r w:rsidRPr="00696880">
        <w:t>, no BSR would be needed. The BSR could be limited to be a short BSR only reporting data from the LCG configured for SDT</w:t>
      </w:r>
      <w:r w:rsidR="00C31C60">
        <w:t xml:space="preserve"> and is triggered when the available configured grant resources are needed for a longer period of time to empty the current UE buffer.</w:t>
      </w:r>
      <w:r w:rsidR="00770631">
        <w:t xml:space="preserve"> In case the BSR is included, the gNb is informed of the situation and can </w:t>
      </w:r>
      <w:r w:rsidR="00E8615E">
        <w:t xml:space="preserve">do an informed decision of whether to move the UE to connected and issue dynamic grants to </w:t>
      </w:r>
      <w:r w:rsidR="001F30D5">
        <w:t>swiftly empty the UEs buffer.</w:t>
      </w:r>
    </w:p>
    <w:p w14:paraId="0B7A51D9" w14:textId="6A764616" w:rsidR="00696880" w:rsidRDefault="00696880" w:rsidP="00E05539">
      <w:pPr>
        <w:pStyle w:val="Proposal"/>
        <w:tabs>
          <w:tab w:val="clear" w:pos="1304"/>
        </w:tabs>
        <w:ind w:left="1701" w:hanging="1701"/>
      </w:pPr>
      <w:bookmarkStart w:id="20" w:name="_Toc54272467"/>
      <w:bookmarkStart w:id="21" w:name="_Toc61534651"/>
      <w:r>
        <w:t xml:space="preserve">A BSR trigger for a volume threshold requiring subsequent data </w:t>
      </w:r>
      <w:r w:rsidR="00E45437">
        <w:t xml:space="preserve">transmissions </w:t>
      </w:r>
      <w:r>
        <w:t>is defined.</w:t>
      </w:r>
      <w:bookmarkEnd w:id="20"/>
      <w:bookmarkEnd w:id="21"/>
    </w:p>
    <w:p w14:paraId="4340ADE9" w14:textId="0D7180AB" w:rsidR="00ED708D" w:rsidRDefault="00582F96" w:rsidP="00ED708D">
      <w:r w:rsidRPr="00C05D9B">
        <w:t xml:space="preserve">To enable dynamic grants </w:t>
      </w:r>
      <w:r w:rsidR="00186BC4" w:rsidRPr="00C05D9B">
        <w:t>when the CG are not sufficient to empty the UE buffer</w:t>
      </w:r>
      <w:r w:rsidR="00F40581" w:rsidRPr="00C05D9B">
        <w:t xml:space="preserve"> is beneficial if </w:t>
      </w:r>
      <w:r w:rsidR="00306A90" w:rsidRPr="00C05D9B">
        <w:t>there are</w:t>
      </w:r>
      <w:r w:rsidR="008D33AB" w:rsidRPr="00C05D9B">
        <w:t xml:space="preserve"> sufficient HARQ processes available for CG. This is </w:t>
      </w:r>
      <w:r w:rsidR="00883AF6" w:rsidRPr="00C05D9B">
        <w:t xml:space="preserve">unlike PUR where only one HARQ process id was defined. </w:t>
      </w:r>
      <w:r w:rsidR="00ED708D" w:rsidRPr="00F87042">
        <w:t>Therefore</w:t>
      </w:r>
      <w:r w:rsidR="00306A90" w:rsidRPr="00F87042">
        <w:t xml:space="preserve"> we believe that legacy methods for HARQ process configuration and determination </w:t>
      </w:r>
      <w:r w:rsidR="00ED708D" w:rsidRPr="00F87042">
        <w:t>should be used.</w:t>
      </w:r>
      <w:r w:rsidR="00ED708D" w:rsidRPr="00ED708D">
        <w:t xml:space="preserve"> </w:t>
      </w:r>
    </w:p>
    <w:p w14:paraId="235C97B7" w14:textId="6C2132DF" w:rsidR="00ED708D" w:rsidRDefault="00ED708D" w:rsidP="00ED708D">
      <w:pPr>
        <w:pStyle w:val="Proposal"/>
        <w:tabs>
          <w:tab w:val="clear" w:pos="1304"/>
        </w:tabs>
        <w:ind w:left="1701" w:hanging="1701"/>
      </w:pPr>
      <w:bookmarkStart w:id="22" w:name="_Toc61534652"/>
      <w:r>
        <w:t xml:space="preserve">HARQ process configuration and determination should </w:t>
      </w:r>
      <w:r w:rsidR="007A1536">
        <w:t>be according to</w:t>
      </w:r>
      <w:r>
        <w:t xml:space="preserve"> NR Rel</w:t>
      </w:r>
      <w:r w:rsidR="007A1536">
        <w:t>. 16</w:t>
      </w:r>
      <w:r>
        <w:t>.</w:t>
      </w:r>
      <w:bookmarkEnd w:id="22"/>
    </w:p>
    <w:p w14:paraId="5436A705" w14:textId="6197A763" w:rsidR="00E30D47" w:rsidRDefault="00E30D47">
      <w:r>
        <w:t xml:space="preserve">In Rel. 16, autonomous retransmissions can be configured using the </w:t>
      </w:r>
      <w:r w:rsidR="00A6757B" w:rsidRPr="00A6757B">
        <w:t>cg-RetransmissionTimer</w:t>
      </w:r>
      <w:r w:rsidR="002E17EB">
        <w:t>, which enables retransmissions on CG occasions. We believe this feature is not</w:t>
      </w:r>
      <w:r w:rsidR="006B7EAB">
        <w:t xml:space="preserve"> very useful for the scenarios</w:t>
      </w:r>
      <w:r>
        <w:t xml:space="preserve"> </w:t>
      </w:r>
      <w:r w:rsidR="006B7EAB">
        <w:t xml:space="preserve">considered for </w:t>
      </w:r>
      <w:r w:rsidR="00821FAA">
        <w:t>CG-</w:t>
      </w:r>
      <w:r w:rsidR="006B7EAB">
        <w:t>SDT</w:t>
      </w:r>
      <w:r w:rsidR="00821FAA">
        <w:t>, since the periodicities between CG transmission occasions is relative</w:t>
      </w:r>
      <w:r w:rsidR="00D617F5">
        <w:t>ly large. In these case</w:t>
      </w:r>
      <w:r w:rsidR="00E858F4">
        <w:t>s, it is more efficient to rely on dynamic grants addressed to the CS-RNTI</w:t>
      </w:r>
      <w:r w:rsidR="00CB09B4">
        <w:t>. We therefore propose that</w:t>
      </w:r>
    </w:p>
    <w:p w14:paraId="4A7FF143" w14:textId="717F62B4" w:rsidR="003C454B" w:rsidRDefault="003C454B" w:rsidP="003C454B">
      <w:pPr>
        <w:pStyle w:val="Proposal"/>
        <w:tabs>
          <w:tab w:val="clear" w:pos="1304"/>
        </w:tabs>
        <w:ind w:left="1701" w:hanging="1701"/>
      </w:pPr>
      <w:bookmarkStart w:id="23" w:name="_Toc61534653"/>
      <w:r>
        <w:t>Auton</w:t>
      </w:r>
      <w:r w:rsidR="00FD382A">
        <w:t xml:space="preserve">omous retransmissions on CG is not </w:t>
      </w:r>
      <w:r w:rsidR="0067215E">
        <w:t xml:space="preserve">supported </w:t>
      </w:r>
      <w:r w:rsidR="00FD382A">
        <w:t>for CG-SDT</w:t>
      </w:r>
      <w:r>
        <w:t>.</w:t>
      </w:r>
      <w:bookmarkEnd w:id="23"/>
    </w:p>
    <w:p w14:paraId="11FD7AF4" w14:textId="77777777" w:rsidR="003C454B" w:rsidRPr="003C3FC2" w:rsidRDefault="003C454B" w:rsidP="00C05D9B"/>
    <w:p w14:paraId="4A4B27D0" w14:textId="11AE6704" w:rsidR="006E1C82" w:rsidRPr="006E32DE" w:rsidRDefault="00C01F33" w:rsidP="006E32DE">
      <w:pPr>
        <w:pStyle w:val="Heading1"/>
      </w:pPr>
      <w:r w:rsidRPr="00CE0424">
        <w:t>Conclusion</w:t>
      </w:r>
    </w:p>
    <w:p w14:paraId="404323B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90119C0" w14:textId="02909BFB" w:rsidR="00C05D9B" w:rsidRDefault="006E1C82">
      <w:pPr>
        <w:pStyle w:val="TableofFigures"/>
        <w:tabs>
          <w:tab w:val="right" w:leader="dot" w:pos="9629"/>
        </w:tabs>
        <w:rPr>
          <w:rFonts w:asciiTheme="minorHAnsi" w:eastAsiaTheme="minorEastAsia" w:hAnsiTheme="minorHAnsi" w:cstheme="minorBidi"/>
          <w:b w:val="0"/>
          <w:noProof/>
          <w:sz w:val="24"/>
          <w:szCs w:val="24"/>
          <w:lang w:eastAsia="ja-JP"/>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34643" w:history="1">
        <w:r w:rsidR="00C05D9B" w:rsidRPr="000116F3">
          <w:rPr>
            <w:rStyle w:val="Hyperlink"/>
            <w:noProof/>
            <w:lang w:eastAsia="ko-KR"/>
          </w:rPr>
          <w:t>Proposal 1</w:t>
        </w:r>
        <w:r w:rsidR="00C05D9B">
          <w:rPr>
            <w:rFonts w:asciiTheme="minorHAnsi" w:eastAsiaTheme="minorEastAsia" w:hAnsiTheme="minorHAnsi" w:cstheme="minorBidi"/>
            <w:b w:val="0"/>
            <w:noProof/>
            <w:sz w:val="24"/>
            <w:szCs w:val="24"/>
            <w:lang w:eastAsia="ja-JP"/>
          </w:rPr>
          <w:tab/>
        </w:r>
        <w:r w:rsidR="00C05D9B" w:rsidRPr="000116F3">
          <w:rPr>
            <w:rStyle w:val="Hyperlink"/>
            <w:noProof/>
            <w:lang w:eastAsia="ko-KR"/>
          </w:rPr>
          <w:t>The legacy Configured Grant framework is reused for CG based SDT</w:t>
        </w:r>
      </w:hyperlink>
    </w:p>
    <w:p w14:paraId="0A459F50" w14:textId="5C6EBFC8" w:rsidR="00C05D9B" w:rsidRDefault="008D59C9">
      <w:pPr>
        <w:pStyle w:val="TableofFigures"/>
        <w:tabs>
          <w:tab w:val="right" w:leader="dot" w:pos="9629"/>
        </w:tabs>
        <w:rPr>
          <w:rFonts w:asciiTheme="minorHAnsi" w:eastAsiaTheme="minorEastAsia" w:hAnsiTheme="minorHAnsi" w:cstheme="minorBidi"/>
          <w:b w:val="0"/>
          <w:noProof/>
          <w:sz w:val="24"/>
          <w:szCs w:val="24"/>
          <w:lang w:eastAsia="ja-JP"/>
        </w:rPr>
      </w:pPr>
      <w:hyperlink w:anchor="_Toc61534644" w:history="1">
        <w:r w:rsidR="00C05D9B" w:rsidRPr="000116F3">
          <w:rPr>
            <w:rStyle w:val="Hyperlink"/>
            <w:noProof/>
            <w:lang w:eastAsia="ko-KR"/>
          </w:rPr>
          <w:t>Proposal 2</w:t>
        </w:r>
        <w:r w:rsidR="00C05D9B">
          <w:rPr>
            <w:rFonts w:asciiTheme="minorHAnsi" w:eastAsiaTheme="minorEastAsia" w:hAnsiTheme="minorHAnsi" w:cstheme="minorBidi"/>
            <w:b w:val="0"/>
            <w:noProof/>
            <w:sz w:val="24"/>
            <w:szCs w:val="24"/>
            <w:lang w:eastAsia="ja-JP"/>
          </w:rPr>
          <w:tab/>
        </w:r>
        <w:r w:rsidR="00C05D9B" w:rsidRPr="000116F3">
          <w:rPr>
            <w:rStyle w:val="Hyperlink"/>
            <w:noProof/>
          </w:rPr>
          <w:t>Introduce a Data volume threshold for when the configured CG is valid.</w:t>
        </w:r>
      </w:hyperlink>
    </w:p>
    <w:p w14:paraId="2BFD7B42" w14:textId="3004BFED" w:rsidR="00C05D9B" w:rsidRDefault="008D59C9">
      <w:pPr>
        <w:pStyle w:val="TableofFigures"/>
        <w:tabs>
          <w:tab w:val="right" w:leader="dot" w:pos="9629"/>
        </w:tabs>
        <w:rPr>
          <w:rFonts w:asciiTheme="minorHAnsi" w:eastAsiaTheme="minorEastAsia" w:hAnsiTheme="minorHAnsi" w:cstheme="minorBidi"/>
          <w:b w:val="0"/>
          <w:noProof/>
          <w:sz w:val="24"/>
          <w:szCs w:val="24"/>
          <w:lang w:eastAsia="ja-JP"/>
        </w:rPr>
      </w:pPr>
      <w:hyperlink w:anchor="_Toc61534645" w:history="1">
        <w:r w:rsidR="00C05D9B" w:rsidRPr="000116F3">
          <w:rPr>
            <w:rStyle w:val="Hyperlink"/>
            <w:noProof/>
            <w:lang w:eastAsia="ko-KR"/>
          </w:rPr>
          <w:t>Proposal 3</w:t>
        </w:r>
        <w:r w:rsidR="00C05D9B">
          <w:rPr>
            <w:rFonts w:asciiTheme="minorHAnsi" w:eastAsiaTheme="minorEastAsia" w:hAnsiTheme="minorHAnsi" w:cstheme="minorBidi"/>
            <w:b w:val="0"/>
            <w:noProof/>
            <w:sz w:val="24"/>
            <w:szCs w:val="24"/>
            <w:lang w:eastAsia="ja-JP"/>
          </w:rPr>
          <w:tab/>
        </w:r>
        <w:r w:rsidR="00C05D9B" w:rsidRPr="000116F3">
          <w:rPr>
            <w:rStyle w:val="Hyperlink"/>
            <w:noProof/>
            <w:lang w:eastAsia="ko-KR"/>
          </w:rPr>
          <w:t>If the UE does not have a valid time aligment corresponding to a Configured Grant configuration, the UE discards the CG configuration.</w:t>
        </w:r>
      </w:hyperlink>
    </w:p>
    <w:p w14:paraId="366E597C" w14:textId="5A9EDEC9" w:rsidR="00C05D9B" w:rsidRDefault="008D59C9">
      <w:pPr>
        <w:pStyle w:val="TableofFigures"/>
        <w:tabs>
          <w:tab w:val="right" w:leader="dot" w:pos="9629"/>
        </w:tabs>
        <w:rPr>
          <w:rFonts w:asciiTheme="minorHAnsi" w:eastAsiaTheme="minorEastAsia" w:hAnsiTheme="minorHAnsi" w:cstheme="minorBidi"/>
          <w:b w:val="0"/>
          <w:noProof/>
          <w:sz w:val="24"/>
          <w:szCs w:val="24"/>
          <w:lang w:eastAsia="ja-JP"/>
        </w:rPr>
      </w:pPr>
      <w:hyperlink w:anchor="_Toc61534646" w:history="1">
        <w:r w:rsidR="00C05D9B" w:rsidRPr="000116F3">
          <w:rPr>
            <w:rStyle w:val="Hyperlink"/>
            <w:noProof/>
            <w:lang w:eastAsia="ko-KR"/>
          </w:rPr>
          <w:t>Proposal 4</w:t>
        </w:r>
        <w:r w:rsidR="00C05D9B">
          <w:rPr>
            <w:rFonts w:asciiTheme="minorHAnsi" w:eastAsiaTheme="minorEastAsia" w:hAnsiTheme="minorHAnsi" w:cstheme="minorBidi"/>
            <w:b w:val="0"/>
            <w:noProof/>
            <w:sz w:val="24"/>
            <w:szCs w:val="24"/>
            <w:lang w:eastAsia="ja-JP"/>
          </w:rPr>
          <w:tab/>
        </w:r>
        <w:r w:rsidR="00C05D9B" w:rsidRPr="000116F3">
          <w:rPr>
            <w:rStyle w:val="Hyperlink"/>
            <w:noProof/>
            <w:lang w:eastAsia="ko-KR"/>
          </w:rPr>
          <w:t>RAN2 to discuss if a beam change result in that the CG config for SDT is released.</w:t>
        </w:r>
      </w:hyperlink>
    </w:p>
    <w:p w14:paraId="426BC0F7" w14:textId="71BCDBBB" w:rsidR="00C05D9B" w:rsidRDefault="008D59C9">
      <w:pPr>
        <w:pStyle w:val="TableofFigures"/>
        <w:tabs>
          <w:tab w:val="right" w:leader="dot" w:pos="9629"/>
        </w:tabs>
        <w:rPr>
          <w:rFonts w:asciiTheme="minorHAnsi" w:eastAsiaTheme="minorEastAsia" w:hAnsiTheme="minorHAnsi" w:cstheme="minorBidi"/>
          <w:b w:val="0"/>
          <w:noProof/>
          <w:sz w:val="24"/>
          <w:szCs w:val="24"/>
          <w:lang w:eastAsia="ja-JP"/>
        </w:rPr>
      </w:pPr>
      <w:hyperlink w:anchor="_Toc61534647" w:history="1">
        <w:r w:rsidR="00C05D9B" w:rsidRPr="000116F3">
          <w:rPr>
            <w:rStyle w:val="Hyperlink"/>
            <w:noProof/>
            <w:lang w:eastAsia="ko-KR"/>
          </w:rPr>
          <w:t>Proposal 5</w:t>
        </w:r>
        <w:r w:rsidR="00C05D9B">
          <w:rPr>
            <w:rFonts w:asciiTheme="minorHAnsi" w:eastAsiaTheme="minorEastAsia" w:hAnsiTheme="minorHAnsi" w:cstheme="minorBidi"/>
            <w:b w:val="0"/>
            <w:noProof/>
            <w:sz w:val="24"/>
            <w:szCs w:val="24"/>
            <w:lang w:eastAsia="ja-JP"/>
          </w:rPr>
          <w:tab/>
        </w:r>
        <w:r w:rsidR="00C05D9B" w:rsidRPr="000116F3">
          <w:rPr>
            <w:rStyle w:val="Hyperlink"/>
            <w:noProof/>
            <w:lang w:eastAsia="ko-KR"/>
          </w:rPr>
          <w:t>It should be possible to configure several CG in the same serving cell for SDT</w:t>
        </w:r>
      </w:hyperlink>
    </w:p>
    <w:p w14:paraId="3AD6922E" w14:textId="2F52D75C" w:rsidR="00C05D9B" w:rsidRDefault="008D59C9">
      <w:pPr>
        <w:pStyle w:val="TableofFigures"/>
        <w:tabs>
          <w:tab w:val="right" w:leader="dot" w:pos="9629"/>
        </w:tabs>
        <w:rPr>
          <w:rFonts w:asciiTheme="minorHAnsi" w:eastAsiaTheme="minorEastAsia" w:hAnsiTheme="minorHAnsi" w:cstheme="minorBidi"/>
          <w:b w:val="0"/>
          <w:noProof/>
          <w:sz w:val="24"/>
          <w:szCs w:val="24"/>
          <w:lang w:eastAsia="ja-JP"/>
        </w:rPr>
      </w:pPr>
      <w:hyperlink w:anchor="_Toc61534648" w:history="1">
        <w:r w:rsidR="00C05D9B" w:rsidRPr="000116F3">
          <w:rPr>
            <w:rStyle w:val="Hyperlink"/>
            <w:noProof/>
            <w:lang w:eastAsia="ko-KR"/>
          </w:rPr>
          <w:t>Proposal 6</w:t>
        </w:r>
        <w:r w:rsidR="00C05D9B">
          <w:rPr>
            <w:rFonts w:asciiTheme="minorHAnsi" w:eastAsiaTheme="minorEastAsia" w:hAnsiTheme="minorHAnsi" w:cstheme="minorBidi"/>
            <w:b w:val="0"/>
            <w:noProof/>
            <w:sz w:val="24"/>
            <w:szCs w:val="24"/>
            <w:lang w:eastAsia="ja-JP"/>
          </w:rPr>
          <w:tab/>
        </w:r>
        <w:r w:rsidR="00C05D9B" w:rsidRPr="000116F3">
          <w:rPr>
            <w:rStyle w:val="Hyperlink"/>
            <w:noProof/>
            <w:lang w:eastAsia="ko-KR"/>
          </w:rPr>
          <w:t>The CG is released after skipping a configurable number of times</w:t>
        </w:r>
      </w:hyperlink>
    </w:p>
    <w:p w14:paraId="54B2CF5E" w14:textId="1D1017D0" w:rsidR="00C05D9B" w:rsidRDefault="008D59C9">
      <w:pPr>
        <w:pStyle w:val="TableofFigures"/>
        <w:tabs>
          <w:tab w:val="right" w:leader="dot" w:pos="9629"/>
        </w:tabs>
        <w:rPr>
          <w:rFonts w:asciiTheme="minorHAnsi" w:eastAsiaTheme="minorEastAsia" w:hAnsiTheme="minorHAnsi" w:cstheme="minorBidi"/>
          <w:b w:val="0"/>
          <w:noProof/>
          <w:sz w:val="24"/>
          <w:szCs w:val="24"/>
          <w:lang w:eastAsia="ja-JP"/>
        </w:rPr>
      </w:pPr>
      <w:hyperlink w:anchor="_Toc61534649" w:history="1">
        <w:r w:rsidR="00C05D9B" w:rsidRPr="000116F3">
          <w:rPr>
            <w:rStyle w:val="Hyperlink"/>
            <w:noProof/>
            <w:lang w:eastAsia="ko-KR"/>
          </w:rPr>
          <w:t>Proposal 7</w:t>
        </w:r>
        <w:r w:rsidR="00C05D9B">
          <w:rPr>
            <w:rFonts w:asciiTheme="minorHAnsi" w:eastAsiaTheme="minorEastAsia" w:hAnsiTheme="minorHAnsi" w:cstheme="minorBidi"/>
            <w:b w:val="0"/>
            <w:noProof/>
            <w:sz w:val="24"/>
            <w:szCs w:val="24"/>
            <w:lang w:eastAsia="ja-JP"/>
          </w:rPr>
          <w:tab/>
        </w:r>
        <w:r w:rsidR="00C05D9B" w:rsidRPr="000116F3">
          <w:rPr>
            <w:rStyle w:val="Hyperlink"/>
            <w:noProof/>
          </w:rPr>
          <w:t>No selection algorithm for CG configurations with different beam associations is needed</w:t>
        </w:r>
      </w:hyperlink>
    </w:p>
    <w:p w14:paraId="6ACA2F20" w14:textId="5C97F68E" w:rsidR="00C05D9B" w:rsidRDefault="008D59C9">
      <w:pPr>
        <w:pStyle w:val="TableofFigures"/>
        <w:tabs>
          <w:tab w:val="right" w:leader="dot" w:pos="9629"/>
        </w:tabs>
        <w:rPr>
          <w:rFonts w:asciiTheme="minorHAnsi" w:eastAsiaTheme="minorEastAsia" w:hAnsiTheme="minorHAnsi" w:cstheme="minorBidi"/>
          <w:b w:val="0"/>
          <w:noProof/>
          <w:sz w:val="24"/>
          <w:szCs w:val="24"/>
          <w:lang w:eastAsia="ja-JP"/>
        </w:rPr>
      </w:pPr>
      <w:hyperlink w:anchor="_Toc61534650" w:history="1">
        <w:r w:rsidR="00C05D9B" w:rsidRPr="000116F3">
          <w:rPr>
            <w:rStyle w:val="Hyperlink"/>
            <w:noProof/>
            <w:lang w:eastAsia="ko-KR"/>
          </w:rPr>
          <w:t>Proposal 8</w:t>
        </w:r>
        <w:r w:rsidR="00C05D9B">
          <w:rPr>
            <w:rFonts w:asciiTheme="minorHAnsi" w:eastAsiaTheme="minorEastAsia" w:hAnsiTheme="minorHAnsi" w:cstheme="minorBidi"/>
            <w:b w:val="0"/>
            <w:noProof/>
            <w:sz w:val="24"/>
            <w:szCs w:val="24"/>
            <w:lang w:eastAsia="ja-JP"/>
          </w:rPr>
          <w:tab/>
        </w:r>
        <w:r w:rsidR="00C05D9B" w:rsidRPr="000116F3">
          <w:rPr>
            <w:rStyle w:val="Hyperlink"/>
            <w:noProof/>
          </w:rPr>
          <w:t>The CG-SDT resources are configured on either NUL or SUL. No selection algorithm for use of CG configurations on NUL or SUL is needed</w:t>
        </w:r>
      </w:hyperlink>
    </w:p>
    <w:p w14:paraId="697EC0A1" w14:textId="7A0E93F3" w:rsidR="00C05D9B" w:rsidRDefault="008D59C9">
      <w:pPr>
        <w:pStyle w:val="TableofFigures"/>
        <w:tabs>
          <w:tab w:val="right" w:leader="dot" w:pos="9629"/>
        </w:tabs>
        <w:rPr>
          <w:rFonts w:asciiTheme="minorHAnsi" w:eastAsiaTheme="minorEastAsia" w:hAnsiTheme="minorHAnsi" w:cstheme="minorBidi"/>
          <w:b w:val="0"/>
          <w:noProof/>
          <w:sz w:val="24"/>
          <w:szCs w:val="24"/>
          <w:lang w:eastAsia="ja-JP"/>
        </w:rPr>
      </w:pPr>
      <w:hyperlink w:anchor="_Toc61534651" w:history="1">
        <w:r w:rsidR="00C05D9B" w:rsidRPr="000116F3">
          <w:rPr>
            <w:rStyle w:val="Hyperlink"/>
            <w:noProof/>
          </w:rPr>
          <w:t>Proposal 9</w:t>
        </w:r>
        <w:r w:rsidR="00C05D9B">
          <w:rPr>
            <w:rFonts w:asciiTheme="minorHAnsi" w:eastAsiaTheme="minorEastAsia" w:hAnsiTheme="minorHAnsi" w:cstheme="minorBidi"/>
            <w:b w:val="0"/>
            <w:noProof/>
            <w:sz w:val="24"/>
            <w:szCs w:val="24"/>
            <w:lang w:eastAsia="ja-JP"/>
          </w:rPr>
          <w:tab/>
        </w:r>
        <w:r w:rsidR="00C05D9B" w:rsidRPr="000116F3">
          <w:rPr>
            <w:rStyle w:val="Hyperlink"/>
            <w:noProof/>
          </w:rPr>
          <w:t>A BSR trigger for a volume threshold requiring subsequent data transmissions is defined.</w:t>
        </w:r>
      </w:hyperlink>
    </w:p>
    <w:p w14:paraId="3EB0D0CE" w14:textId="160975F8" w:rsidR="00C05D9B" w:rsidRDefault="008D59C9">
      <w:pPr>
        <w:pStyle w:val="TableofFigures"/>
        <w:tabs>
          <w:tab w:val="right" w:leader="dot" w:pos="9629"/>
        </w:tabs>
        <w:rPr>
          <w:rFonts w:asciiTheme="minorHAnsi" w:eastAsiaTheme="minorEastAsia" w:hAnsiTheme="minorHAnsi" w:cstheme="minorBidi"/>
          <w:b w:val="0"/>
          <w:noProof/>
          <w:sz w:val="24"/>
          <w:szCs w:val="24"/>
          <w:lang w:eastAsia="ja-JP"/>
        </w:rPr>
      </w:pPr>
      <w:hyperlink w:anchor="_Toc61534652" w:history="1">
        <w:r w:rsidR="00C05D9B" w:rsidRPr="000116F3">
          <w:rPr>
            <w:rStyle w:val="Hyperlink"/>
            <w:noProof/>
          </w:rPr>
          <w:t>Proposal 10</w:t>
        </w:r>
        <w:r w:rsidR="00C05D9B">
          <w:rPr>
            <w:rFonts w:asciiTheme="minorHAnsi" w:eastAsiaTheme="minorEastAsia" w:hAnsiTheme="minorHAnsi" w:cstheme="minorBidi"/>
            <w:b w:val="0"/>
            <w:noProof/>
            <w:sz w:val="24"/>
            <w:szCs w:val="24"/>
            <w:lang w:eastAsia="ja-JP"/>
          </w:rPr>
          <w:tab/>
        </w:r>
        <w:r w:rsidR="00C05D9B" w:rsidRPr="000116F3">
          <w:rPr>
            <w:rStyle w:val="Hyperlink"/>
            <w:noProof/>
          </w:rPr>
          <w:t>HARQ process configuration and determination should be according to NR Rel. 16.</w:t>
        </w:r>
      </w:hyperlink>
    </w:p>
    <w:p w14:paraId="20475364" w14:textId="785A2782" w:rsidR="00C05D9B" w:rsidRDefault="008D59C9">
      <w:pPr>
        <w:pStyle w:val="TableofFigures"/>
        <w:tabs>
          <w:tab w:val="right" w:leader="dot" w:pos="9629"/>
        </w:tabs>
        <w:rPr>
          <w:rFonts w:asciiTheme="minorHAnsi" w:eastAsiaTheme="minorEastAsia" w:hAnsiTheme="minorHAnsi" w:cstheme="minorBidi"/>
          <w:b w:val="0"/>
          <w:noProof/>
          <w:sz w:val="24"/>
          <w:szCs w:val="24"/>
          <w:lang w:eastAsia="ja-JP"/>
        </w:rPr>
      </w:pPr>
      <w:hyperlink w:anchor="_Toc61534653" w:history="1">
        <w:r w:rsidR="00C05D9B" w:rsidRPr="000116F3">
          <w:rPr>
            <w:rStyle w:val="Hyperlink"/>
            <w:noProof/>
          </w:rPr>
          <w:t>Proposal 11</w:t>
        </w:r>
        <w:r w:rsidR="00C05D9B">
          <w:rPr>
            <w:rFonts w:asciiTheme="minorHAnsi" w:eastAsiaTheme="minorEastAsia" w:hAnsiTheme="minorHAnsi" w:cstheme="minorBidi"/>
            <w:b w:val="0"/>
            <w:noProof/>
            <w:sz w:val="24"/>
            <w:szCs w:val="24"/>
            <w:lang w:eastAsia="ja-JP"/>
          </w:rPr>
          <w:tab/>
        </w:r>
        <w:r w:rsidR="00C05D9B" w:rsidRPr="000116F3">
          <w:rPr>
            <w:rStyle w:val="Hyperlink"/>
            <w:noProof/>
          </w:rPr>
          <w:t>Autonomous retransmissions on CG is not supported for CG-SDT.</w:t>
        </w:r>
      </w:hyperlink>
    </w:p>
    <w:p w14:paraId="0089C6DB" w14:textId="213AA7BA" w:rsidR="00C01F33" w:rsidRPr="00CE0424" w:rsidRDefault="006E1C82" w:rsidP="007046C5">
      <w:pPr>
        <w:pStyle w:val="BodyText"/>
      </w:pPr>
      <w:r>
        <w:rPr>
          <w:b/>
          <w:bCs/>
          <w:lang w:val="en-US"/>
        </w:rPr>
        <w:fldChar w:fldCharType="end"/>
      </w:r>
    </w:p>
    <w:p w14:paraId="409E695F" w14:textId="77777777" w:rsidR="00F507D1" w:rsidRPr="00CE0424" w:rsidRDefault="00F507D1" w:rsidP="00CE0424">
      <w:pPr>
        <w:pStyle w:val="Heading1"/>
      </w:pPr>
      <w:bookmarkStart w:id="24" w:name="_In-sequence_SDU_delivery"/>
      <w:bookmarkEnd w:id="24"/>
      <w:r w:rsidRPr="00CE0424">
        <w:t>References</w:t>
      </w:r>
    </w:p>
    <w:p w14:paraId="1AE0D9B2" w14:textId="4C7EE1CA" w:rsidR="00161FDA" w:rsidRPr="00C05D9B" w:rsidRDefault="007D131A" w:rsidP="007046C5">
      <w:pPr>
        <w:pStyle w:val="Reference"/>
        <w:keepNext/>
        <w:keepLines/>
        <w:pBdr>
          <w:top w:val="single" w:sz="12" w:space="3" w:color="auto"/>
        </w:pBdr>
        <w:spacing w:before="240"/>
        <w:ind w:left="1134" w:hanging="1134"/>
        <w:outlineLvl w:val="0"/>
      </w:pPr>
      <w:bookmarkStart w:id="25" w:name="_Ref174151459"/>
      <w:bookmarkStart w:id="26" w:name="_Ref189809556"/>
      <w:r w:rsidRPr="007046C5">
        <w:rPr>
          <w:rFonts w:eastAsia="Batang"/>
        </w:rPr>
        <w:t>RP-193252 Work Item on NR small</w:t>
      </w:r>
      <w:r w:rsidR="007046C5">
        <w:rPr>
          <w:rFonts w:eastAsia="Batang"/>
        </w:rPr>
        <w:t xml:space="preserve"> </w:t>
      </w:r>
      <w:r w:rsidRPr="007046C5">
        <w:rPr>
          <w:rFonts w:eastAsia="Batang"/>
        </w:rPr>
        <w:t>data transmissions in INACTIVE</w:t>
      </w:r>
      <w:bookmarkStart w:id="27" w:name="_Annex"/>
      <w:bookmarkEnd w:id="25"/>
      <w:bookmarkEnd w:id="26"/>
      <w:bookmarkEnd w:id="27"/>
    </w:p>
    <w:p w14:paraId="0076F272" w14:textId="680391FB" w:rsidR="00FE08EF" w:rsidRPr="00161FDA" w:rsidRDefault="00FE08EF" w:rsidP="007046C5">
      <w:pPr>
        <w:pStyle w:val="Reference"/>
        <w:keepNext/>
        <w:keepLines/>
        <w:pBdr>
          <w:top w:val="single" w:sz="12" w:space="3" w:color="auto"/>
        </w:pBdr>
        <w:spacing w:before="240"/>
        <w:ind w:left="1134" w:hanging="1134"/>
        <w:outlineLvl w:val="0"/>
      </w:pPr>
      <w:bookmarkStart w:id="28" w:name="_Ref61508404"/>
      <w:r>
        <w:rPr>
          <w:rFonts w:eastAsia="SimSun" w:cs="Arial"/>
          <w:bCs/>
          <w:szCs w:val="24"/>
          <w:lang w:eastAsia="en-US"/>
        </w:rPr>
        <w:t xml:space="preserve">RAN2 </w:t>
      </w:r>
      <w:r w:rsidRPr="00D037DA">
        <w:rPr>
          <w:rFonts w:eastAsia="SimSun" w:cs="Arial"/>
          <w:bCs/>
          <w:szCs w:val="24"/>
          <w:lang w:eastAsia="en-US"/>
        </w:rPr>
        <w:t>email discussion</w:t>
      </w:r>
      <w:r>
        <w:rPr>
          <w:rFonts w:eastAsia="SimSun" w:cs="Arial"/>
          <w:bCs/>
          <w:szCs w:val="24"/>
          <w:lang w:eastAsia="en-US"/>
        </w:rPr>
        <w:t>,</w:t>
      </w:r>
      <w:r w:rsidRPr="00D037DA">
        <w:rPr>
          <w:rFonts w:eastAsia="SimSun" w:cs="Arial"/>
          <w:bCs/>
          <w:szCs w:val="24"/>
          <w:lang w:eastAsia="en-US"/>
        </w:rPr>
        <w:t xml:space="preserve"> POST112-e][550][SDT] Further details of CG</w:t>
      </w:r>
      <w:r w:rsidRPr="00D037DA">
        <w:rPr>
          <w:rFonts w:eastAsia="SimSun" w:cs="Arial"/>
          <w:bCs/>
          <w:szCs w:val="24"/>
          <w:lang w:eastAsia="en-US"/>
        </w:rPr>
        <w:br/>
        <w:t>aspects (Lenovo)</w:t>
      </w:r>
      <w:bookmarkEnd w:id="28"/>
    </w:p>
    <w:sectPr w:rsidR="00FE08EF" w:rsidRPr="00161FD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BDDEB" w14:textId="77777777" w:rsidR="008D59C9" w:rsidRDefault="008D59C9">
      <w:r>
        <w:separator/>
      </w:r>
    </w:p>
  </w:endnote>
  <w:endnote w:type="continuationSeparator" w:id="0">
    <w:p w14:paraId="0F3A4EAD" w14:textId="77777777" w:rsidR="008D59C9" w:rsidRDefault="008D59C9">
      <w:r>
        <w:continuationSeparator/>
      </w:r>
    </w:p>
  </w:endnote>
  <w:endnote w:type="continuationNotice" w:id="1">
    <w:p w14:paraId="65D4449B" w14:textId="77777777" w:rsidR="008D59C9" w:rsidRDefault="008D59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7D1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5FA6D" w14:textId="77777777" w:rsidR="008D59C9" w:rsidRDefault="008D59C9">
      <w:r>
        <w:separator/>
      </w:r>
    </w:p>
  </w:footnote>
  <w:footnote w:type="continuationSeparator" w:id="0">
    <w:p w14:paraId="3D7790C4" w14:textId="77777777" w:rsidR="008D59C9" w:rsidRDefault="008D59C9">
      <w:r>
        <w:continuationSeparator/>
      </w:r>
    </w:p>
  </w:footnote>
  <w:footnote w:type="continuationNotice" w:id="1">
    <w:p w14:paraId="3339BD21" w14:textId="77777777" w:rsidR="008D59C9" w:rsidRDefault="008D59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809BC"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9187C6D"/>
    <w:multiLevelType w:val="hybridMultilevel"/>
    <w:tmpl w:val="7C30A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8A52137"/>
    <w:multiLevelType w:val="hybridMultilevel"/>
    <w:tmpl w:val="C9B6DEA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2469E0"/>
    <w:multiLevelType w:val="hybridMultilevel"/>
    <w:tmpl w:val="23165E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4A3310"/>
    <w:multiLevelType w:val="hybridMultilevel"/>
    <w:tmpl w:val="57ACD2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6E351AE"/>
    <w:multiLevelType w:val="hybridMultilevel"/>
    <w:tmpl w:val="958C9210"/>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2A4542E"/>
    <w:multiLevelType w:val="hybridMultilevel"/>
    <w:tmpl w:val="5808B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EF54547"/>
    <w:multiLevelType w:val="hybridMultilevel"/>
    <w:tmpl w:val="35D46B7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3"/>
  </w:num>
  <w:num w:numId="8">
    <w:abstractNumId w:val="13"/>
  </w:num>
  <w:num w:numId="9">
    <w:abstractNumId w:val="11"/>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4"/>
  </w:num>
  <w:num w:numId="17">
    <w:abstractNumId w:val="8"/>
  </w:num>
  <w:num w:numId="18">
    <w:abstractNumId w:val="10"/>
  </w:num>
  <w:num w:numId="19">
    <w:abstractNumId w:val="6"/>
  </w:num>
  <w:num w:numId="20">
    <w:abstractNumId w:val="29"/>
  </w:num>
  <w:num w:numId="21">
    <w:abstractNumId w:val="14"/>
  </w:num>
  <w:num w:numId="22">
    <w:abstractNumId w:val="27"/>
  </w:num>
  <w:num w:numId="23">
    <w:abstractNumId w:val="25"/>
  </w:num>
  <w:num w:numId="24">
    <w:abstractNumId w:val="4"/>
  </w:num>
  <w:num w:numId="25">
    <w:abstractNumId w:val="22"/>
  </w:num>
  <w:num w:numId="26">
    <w:abstractNumId w:val="5"/>
  </w:num>
  <w:num w:numId="27">
    <w:abstractNumId w:val="28"/>
  </w:num>
  <w:num w:numId="28">
    <w:abstractNumId w:val="9"/>
  </w:num>
  <w:num w:numId="29">
    <w:abstractNumId w:val="26"/>
  </w:num>
  <w:num w:numId="30">
    <w:abstractNumId w:val="15"/>
  </w:num>
  <w:num w:numId="31">
    <w:abstractNumId w:val="30"/>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2A37"/>
    <w:rsid w:val="00003760"/>
    <w:rsid w:val="0000564C"/>
    <w:rsid w:val="00006446"/>
    <w:rsid w:val="00006896"/>
    <w:rsid w:val="00007CDC"/>
    <w:rsid w:val="00011B28"/>
    <w:rsid w:val="000120A5"/>
    <w:rsid w:val="00012745"/>
    <w:rsid w:val="00014F8F"/>
    <w:rsid w:val="00015D15"/>
    <w:rsid w:val="000163C5"/>
    <w:rsid w:val="00021B15"/>
    <w:rsid w:val="0002564D"/>
    <w:rsid w:val="00025D8E"/>
    <w:rsid w:val="00025ECA"/>
    <w:rsid w:val="000325B8"/>
    <w:rsid w:val="00033408"/>
    <w:rsid w:val="00034C15"/>
    <w:rsid w:val="000364C7"/>
    <w:rsid w:val="00036AF7"/>
    <w:rsid w:val="00036BA1"/>
    <w:rsid w:val="000422E2"/>
    <w:rsid w:val="00042F22"/>
    <w:rsid w:val="000444EF"/>
    <w:rsid w:val="000447C3"/>
    <w:rsid w:val="00045F45"/>
    <w:rsid w:val="00047988"/>
    <w:rsid w:val="00052A07"/>
    <w:rsid w:val="000534E3"/>
    <w:rsid w:val="0005606A"/>
    <w:rsid w:val="00056F76"/>
    <w:rsid w:val="00057117"/>
    <w:rsid w:val="0005761E"/>
    <w:rsid w:val="00057734"/>
    <w:rsid w:val="000601F8"/>
    <w:rsid w:val="00060BCC"/>
    <w:rsid w:val="000616E7"/>
    <w:rsid w:val="0006254E"/>
    <w:rsid w:val="00063B61"/>
    <w:rsid w:val="0006479D"/>
    <w:rsid w:val="0006487E"/>
    <w:rsid w:val="00064BAE"/>
    <w:rsid w:val="00065E1A"/>
    <w:rsid w:val="00073824"/>
    <w:rsid w:val="00077E5F"/>
    <w:rsid w:val="0008036A"/>
    <w:rsid w:val="00080F6A"/>
    <w:rsid w:val="00081AE6"/>
    <w:rsid w:val="00083639"/>
    <w:rsid w:val="000855EB"/>
    <w:rsid w:val="00085B52"/>
    <w:rsid w:val="000866F2"/>
    <w:rsid w:val="0009009F"/>
    <w:rsid w:val="00091557"/>
    <w:rsid w:val="000924C1"/>
    <w:rsid w:val="000924F0"/>
    <w:rsid w:val="00093474"/>
    <w:rsid w:val="0009510F"/>
    <w:rsid w:val="00095C70"/>
    <w:rsid w:val="000A1B7B"/>
    <w:rsid w:val="000A3BF7"/>
    <w:rsid w:val="000A56F2"/>
    <w:rsid w:val="000A6908"/>
    <w:rsid w:val="000B2719"/>
    <w:rsid w:val="000B382D"/>
    <w:rsid w:val="000B3A8F"/>
    <w:rsid w:val="000B3DEB"/>
    <w:rsid w:val="000B4AB9"/>
    <w:rsid w:val="000B58C3"/>
    <w:rsid w:val="000B61E9"/>
    <w:rsid w:val="000B7FA6"/>
    <w:rsid w:val="000C165A"/>
    <w:rsid w:val="000C236B"/>
    <w:rsid w:val="000C2E19"/>
    <w:rsid w:val="000C4911"/>
    <w:rsid w:val="000C4B17"/>
    <w:rsid w:val="000C6EFA"/>
    <w:rsid w:val="000D00E4"/>
    <w:rsid w:val="000D0D07"/>
    <w:rsid w:val="000D4797"/>
    <w:rsid w:val="000D56E6"/>
    <w:rsid w:val="000E0527"/>
    <w:rsid w:val="000E1E92"/>
    <w:rsid w:val="000F06D6"/>
    <w:rsid w:val="000F0EB1"/>
    <w:rsid w:val="000F1106"/>
    <w:rsid w:val="000F1CA0"/>
    <w:rsid w:val="000F3BE9"/>
    <w:rsid w:val="000F3F6C"/>
    <w:rsid w:val="000F4FC8"/>
    <w:rsid w:val="000F536E"/>
    <w:rsid w:val="000F6DF3"/>
    <w:rsid w:val="000F7570"/>
    <w:rsid w:val="000F7897"/>
    <w:rsid w:val="001005FF"/>
    <w:rsid w:val="001062FB"/>
    <w:rsid w:val="001063E6"/>
    <w:rsid w:val="00111BCF"/>
    <w:rsid w:val="00113CF4"/>
    <w:rsid w:val="00113E69"/>
    <w:rsid w:val="0011406C"/>
    <w:rsid w:val="001153EA"/>
    <w:rsid w:val="00115643"/>
    <w:rsid w:val="00115903"/>
    <w:rsid w:val="00116765"/>
    <w:rsid w:val="001219F5"/>
    <w:rsid w:val="00121A20"/>
    <w:rsid w:val="0012377F"/>
    <w:rsid w:val="001238F8"/>
    <w:rsid w:val="00124314"/>
    <w:rsid w:val="00126B4A"/>
    <w:rsid w:val="0012741A"/>
    <w:rsid w:val="001303B9"/>
    <w:rsid w:val="00132FD0"/>
    <w:rsid w:val="001344C0"/>
    <w:rsid w:val="001346FA"/>
    <w:rsid w:val="00135252"/>
    <w:rsid w:val="00137AB5"/>
    <w:rsid w:val="00137F0B"/>
    <w:rsid w:val="00141157"/>
    <w:rsid w:val="00145F5A"/>
    <w:rsid w:val="00151E23"/>
    <w:rsid w:val="0015217B"/>
    <w:rsid w:val="001526E0"/>
    <w:rsid w:val="001551B5"/>
    <w:rsid w:val="00155D23"/>
    <w:rsid w:val="00161FDA"/>
    <w:rsid w:val="00162FE6"/>
    <w:rsid w:val="001659C1"/>
    <w:rsid w:val="00171CB0"/>
    <w:rsid w:val="0017212B"/>
    <w:rsid w:val="00173A8E"/>
    <w:rsid w:val="00173F53"/>
    <w:rsid w:val="0017502C"/>
    <w:rsid w:val="00177382"/>
    <w:rsid w:val="0017756A"/>
    <w:rsid w:val="001805B2"/>
    <w:rsid w:val="00180BE8"/>
    <w:rsid w:val="0018143F"/>
    <w:rsid w:val="00181FF8"/>
    <w:rsid w:val="00184B5A"/>
    <w:rsid w:val="00186BC4"/>
    <w:rsid w:val="00190AC1"/>
    <w:rsid w:val="00192C8E"/>
    <w:rsid w:val="0019341A"/>
    <w:rsid w:val="001935FA"/>
    <w:rsid w:val="0019420F"/>
    <w:rsid w:val="00197DF9"/>
    <w:rsid w:val="001A1987"/>
    <w:rsid w:val="001A2564"/>
    <w:rsid w:val="001A2FC9"/>
    <w:rsid w:val="001A6173"/>
    <w:rsid w:val="001A6430"/>
    <w:rsid w:val="001A6BDB"/>
    <w:rsid w:val="001A6CBA"/>
    <w:rsid w:val="001A7507"/>
    <w:rsid w:val="001A79BB"/>
    <w:rsid w:val="001B0753"/>
    <w:rsid w:val="001B0D97"/>
    <w:rsid w:val="001B5A5D"/>
    <w:rsid w:val="001B78EB"/>
    <w:rsid w:val="001C1CE5"/>
    <w:rsid w:val="001C3D2A"/>
    <w:rsid w:val="001C7DA4"/>
    <w:rsid w:val="001D0154"/>
    <w:rsid w:val="001D51BA"/>
    <w:rsid w:val="001D53E7"/>
    <w:rsid w:val="001D6342"/>
    <w:rsid w:val="001D6D53"/>
    <w:rsid w:val="001E58E2"/>
    <w:rsid w:val="001E6578"/>
    <w:rsid w:val="001E7AED"/>
    <w:rsid w:val="001F299F"/>
    <w:rsid w:val="001F30D5"/>
    <w:rsid w:val="001F3916"/>
    <w:rsid w:val="001F54C5"/>
    <w:rsid w:val="001F662C"/>
    <w:rsid w:val="001F7074"/>
    <w:rsid w:val="001F7B81"/>
    <w:rsid w:val="001F7BEF"/>
    <w:rsid w:val="00200490"/>
    <w:rsid w:val="00201F3A"/>
    <w:rsid w:val="00203F96"/>
    <w:rsid w:val="002069B2"/>
    <w:rsid w:val="00207863"/>
    <w:rsid w:val="00207A08"/>
    <w:rsid w:val="00207FA3"/>
    <w:rsid w:val="00210FF4"/>
    <w:rsid w:val="002115CD"/>
    <w:rsid w:val="00214DA8"/>
    <w:rsid w:val="00215423"/>
    <w:rsid w:val="002158FA"/>
    <w:rsid w:val="00220600"/>
    <w:rsid w:val="002224DB"/>
    <w:rsid w:val="00223FCB"/>
    <w:rsid w:val="002252C3"/>
    <w:rsid w:val="002259EC"/>
    <w:rsid w:val="00225C54"/>
    <w:rsid w:val="00230765"/>
    <w:rsid w:val="00230D18"/>
    <w:rsid w:val="00230DF0"/>
    <w:rsid w:val="002319E4"/>
    <w:rsid w:val="002324E9"/>
    <w:rsid w:val="0023428E"/>
    <w:rsid w:val="002342A2"/>
    <w:rsid w:val="00235632"/>
    <w:rsid w:val="00235872"/>
    <w:rsid w:val="002362AF"/>
    <w:rsid w:val="00241559"/>
    <w:rsid w:val="002435B3"/>
    <w:rsid w:val="002435B7"/>
    <w:rsid w:val="002442D7"/>
    <w:rsid w:val="002458EB"/>
    <w:rsid w:val="002461E1"/>
    <w:rsid w:val="00247B4C"/>
    <w:rsid w:val="00247BE1"/>
    <w:rsid w:val="00247C6C"/>
    <w:rsid w:val="002500C8"/>
    <w:rsid w:val="00250804"/>
    <w:rsid w:val="00257532"/>
    <w:rsid w:val="00257543"/>
    <w:rsid w:val="002617E7"/>
    <w:rsid w:val="00264228"/>
    <w:rsid w:val="00264334"/>
    <w:rsid w:val="0026473E"/>
    <w:rsid w:val="00264860"/>
    <w:rsid w:val="00266214"/>
    <w:rsid w:val="00267C83"/>
    <w:rsid w:val="0027144F"/>
    <w:rsid w:val="00271813"/>
    <w:rsid w:val="00271F3A"/>
    <w:rsid w:val="00272A63"/>
    <w:rsid w:val="00273278"/>
    <w:rsid w:val="002737F4"/>
    <w:rsid w:val="00274352"/>
    <w:rsid w:val="002805F5"/>
    <w:rsid w:val="00280751"/>
    <w:rsid w:val="0028280A"/>
    <w:rsid w:val="00285623"/>
    <w:rsid w:val="00286ACD"/>
    <w:rsid w:val="00287838"/>
    <w:rsid w:val="002907B5"/>
    <w:rsid w:val="00292C36"/>
    <w:rsid w:val="00292C6D"/>
    <w:rsid w:val="00292EB7"/>
    <w:rsid w:val="00296227"/>
    <w:rsid w:val="00296B45"/>
    <w:rsid w:val="00296F44"/>
    <w:rsid w:val="0029777D"/>
    <w:rsid w:val="002A055E"/>
    <w:rsid w:val="002A0908"/>
    <w:rsid w:val="002A1D4E"/>
    <w:rsid w:val="002A2869"/>
    <w:rsid w:val="002A4187"/>
    <w:rsid w:val="002A4441"/>
    <w:rsid w:val="002B24D6"/>
    <w:rsid w:val="002B4405"/>
    <w:rsid w:val="002B6573"/>
    <w:rsid w:val="002C175E"/>
    <w:rsid w:val="002C41E6"/>
    <w:rsid w:val="002C4A58"/>
    <w:rsid w:val="002D071A"/>
    <w:rsid w:val="002D195B"/>
    <w:rsid w:val="002D34B2"/>
    <w:rsid w:val="002D48B0"/>
    <w:rsid w:val="002D5B37"/>
    <w:rsid w:val="002D7637"/>
    <w:rsid w:val="002E17EB"/>
    <w:rsid w:val="002E17F2"/>
    <w:rsid w:val="002E7AE0"/>
    <w:rsid w:val="002E7CAE"/>
    <w:rsid w:val="002F0103"/>
    <w:rsid w:val="002F2771"/>
    <w:rsid w:val="002F37A9"/>
    <w:rsid w:val="002F405A"/>
    <w:rsid w:val="00301CE6"/>
    <w:rsid w:val="0030232C"/>
    <w:rsid w:val="0030256B"/>
    <w:rsid w:val="003025C4"/>
    <w:rsid w:val="00302F2D"/>
    <w:rsid w:val="0030394B"/>
    <w:rsid w:val="0030501F"/>
    <w:rsid w:val="00305F2B"/>
    <w:rsid w:val="00306A90"/>
    <w:rsid w:val="00307BA1"/>
    <w:rsid w:val="00311702"/>
    <w:rsid w:val="00311E82"/>
    <w:rsid w:val="00313FD6"/>
    <w:rsid w:val="003143BD"/>
    <w:rsid w:val="00315363"/>
    <w:rsid w:val="003203ED"/>
    <w:rsid w:val="00322C9F"/>
    <w:rsid w:val="00322E7D"/>
    <w:rsid w:val="00324827"/>
    <w:rsid w:val="00324D23"/>
    <w:rsid w:val="00331751"/>
    <w:rsid w:val="00334579"/>
    <w:rsid w:val="00335858"/>
    <w:rsid w:val="003364E2"/>
    <w:rsid w:val="00336BDA"/>
    <w:rsid w:val="003411CA"/>
    <w:rsid w:val="00342BD7"/>
    <w:rsid w:val="003431AC"/>
    <w:rsid w:val="003437E6"/>
    <w:rsid w:val="00346DB5"/>
    <w:rsid w:val="003477B1"/>
    <w:rsid w:val="003503C2"/>
    <w:rsid w:val="003515A7"/>
    <w:rsid w:val="003553D2"/>
    <w:rsid w:val="00357380"/>
    <w:rsid w:val="003602D9"/>
    <w:rsid w:val="003604CE"/>
    <w:rsid w:val="003605F3"/>
    <w:rsid w:val="00362030"/>
    <w:rsid w:val="003628EE"/>
    <w:rsid w:val="00370E47"/>
    <w:rsid w:val="00372A4C"/>
    <w:rsid w:val="00372DC6"/>
    <w:rsid w:val="00373642"/>
    <w:rsid w:val="003742AC"/>
    <w:rsid w:val="00374A76"/>
    <w:rsid w:val="00375C73"/>
    <w:rsid w:val="00375D68"/>
    <w:rsid w:val="00377CE1"/>
    <w:rsid w:val="0038440C"/>
    <w:rsid w:val="0038484A"/>
    <w:rsid w:val="00385BF0"/>
    <w:rsid w:val="00386163"/>
    <w:rsid w:val="00387E8C"/>
    <w:rsid w:val="00387FF1"/>
    <w:rsid w:val="003939FF"/>
    <w:rsid w:val="00394E11"/>
    <w:rsid w:val="00396BDB"/>
    <w:rsid w:val="003A2223"/>
    <w:rsid w:val="003A2A0F"/>
    <w:rsid w:val="003A45A1"/>
    <w:rsid w:val="003A5B0A"/>
    <w:rsid w:val="003A5EFB"/>
    <w:rsid w:val="003A6649"/>
    <w:rsid w:val="003A6BAC"/>
    <w:rsid w:val="003A70A4"/>
    <w:rsid w:val="003A7EF3"/>
    <w:rsid w:val="003B159C"/>
    <w:rsid w:val="003B369F"/>
    <w:rsid w:val="003B36A3"/>
    <w:rsid w:val="003B4933"/>
    <w:rsid w:val="003B64BB"/>
    <w:rsid w:val="003B7FE5"/>
    <w:rsid w:val="003C11C8"/>
    <w:rsid w:val="003C1266"/>
    <w:rsid w:val="003C2702"/>
    <w:rsid w:val="003C3CB1"/>
    <w:rsid w:val="003C3FC2"/>
    <w:rsid w:val="003C454B"/>
    <w:rsid w:val="003C6583"/>
    <w:rsid w:val="003C7806"/>
    <w:rsid w:val="003D109F"/>
    <w:rsid w:val="003D1822"/>
    <w:rsid w:val="003D1AB4"/>
    <w:rsid w:val="003D2478"/>
    <w:rsid w:val="003D3C45"/>
    <w:rsid w:val="003D5B1F"/>
    <w:rsid w:val="003E056C"/>
    <w:rsid w:val="003E15FA"/>
    <w:rsid w:val="003E1882"/>
    <w:rsid w:val="003E2454"/>
    <w:rsid w:val="003E55E4"/>
    <w:rsid w:val="003E57E2"/>
    <w:rsid w:val="003E74E3"/>
    <w:rsid w:val="003F0590"/>
    <w:rsid w:val="003F05C7"/>
    <w:rsid w:val="003F22B4"/>
    <w:rsid w:val="003F2CD4"/>
    <w:rsid w:val="003F46F9"/>
    <w:rsid w:val="003F5115"/>
    <w:rsid w:val="003F6BBE"/>
    <w:rsid w:val="004000E8"/>
    <w:rsid w:val="00402E2B"/>
    <w:rsid w:val="0040512B"/>
    <w:rsid w:val="00405CA5"/>
    <w:rsid w:val="00407C30"/>
    <w:rsid w:val="00407CD3"/>
    <w:rsid w:val="00410134"/>
    <w:rsid w:val="00410B72"/>
    <w:rsid w:val="00410F18"/>
    <w:rsid w:val="0041263E"/>
    <w:rsid w:val="0041352F"/>
    <w:rsid w:val="00413AAC"/>
    <w:rsid w:val="00413E92"/>
    <w:rsid w:val="00417FEE"/>
    <w:rsid w:val="00421105"/>
    <w:rsid w:val="00422AA4"/>
    <w:rsid w:val="00422E9D"/>
    <w:rsid w:val="004242F4"/>
    <w:rsid w:val="0042454B"/>
    <w:rsid w:val="00424F07"/>
    <w:rsid w:val="00427248"/>
    <w:rsid w:val="00437447"/>
    <w:rsid w:val="004406A3"/>
    <w:rsid w:val="00440DD0"/>
    <w:rsid w:val="00441A92"/>
    <w:rsid w:val="00442DED"/>
    <w:rsid w:val="004431DC"/>
    <w:rsid w:val="00443B4D"/>
    <w:rsid w:val="00444F56"/>
    <w:rsid w:val="00446488"/>
    <w:rsid w:val="004465C1"/>
    <w:rsid w:val="004517AA"/>
    <w:rsid w:val="00452CAC"/>
    <w:rsid w:val="00453CDC"/>
    <w:rsid w:val="00457565"/>
    <w:rsid w:val="00457B71"/>
    <w:rsid w:val="004669E2"/>
    <w:rsid w:val="004669F3"/>
    <w:rsid w:val="004671D2"/>
    <w:rsid w:val="00470C31"/>
    <w:rsid w:val="0047121A"/>
    <w:rsid w:val="00471DE0"/>
    <w:rsid w:val="004734D0"/>
    <w:rsid w:val="0047556B"/>
    <w:rsid w:val="00477768"/>
    <w:rsid w:val="00492BC5"/>
    <w:rsid w:val="004964F1"/>
    <w:rsid w:val="004A16BC"/>
    <w:rsid w:val="004A282F"/>
    <w:rsid w:val="004A2B94"/>
    <w:rsid w:val="004A30C6"/>
    <w:rsid w:val="004A48D7"/>
    <w:rsid w:val="004A7F8B"/>
    <w:rsid w:val="004B1214"/>
    <w:rsid w:val="004B56F1"/>
    <w:rsid w:val="004B6F6A"/>
    <w:rsid w:val="004B7C0C"/>
    <w:rsid w:val="004C3898"/>
    <w:rsid w:val="004C7058"/>
    <w:rsid w:val="004D2675"/>
    <w:rsid w:val="004D36B1"/>
    <w:rsid w:val="004D53BB"/>
    <w:rsid w:val="004D7EBD"/>
    <w:rsid w:val="004E1DBF"/>
    <w:rsid w:val="004E2680"/>
    <w:rsid w:val="004E28F9"/>
    <w:rsid w:val="004E2CB6"/>
    <w:rsid w:val="004E41EB"/>
    <w:rsid w:val="004E462E"/>
    <w:rsid w:val="004E4906"/>
    <w:rsid w:val="004E56DC"/>
    <w:rsid w:val="004E76F4"/>
    <w:rsid w:val="004E7984"/>
    <w:rsid w:val="004F0B4E"/>
    <w:rsid w:val="004F0B6C"/>
    <w:rsid w:val="004F2078"/>
    <w:rsid w:val="004F4DA3"/>
    <w:rsid w:val="004F7C57"/>
    <w:rsid w:val="004F7D2B"/>
    <w:rsid w:val="0050222C"/>
    <w:rsid w:val="00504887"/>
    <w:rsid w:val="00506557"/>
    <w:rsid w:val="0050677A"/>
    <w:rsid w:val="00507CD4"/>
    <w:rsid w:val="005108D8"/>
    <w:rsid w:val="0051098F"/>
    <w:rsid w:val="005116F9"/>
    <w:rsid w:val="00511D0B"/>
    <w:rsid w:val="005153A7"/>
    <w:rsid w:val="00517E7A"/>
    <w:rsid w:val="005219CF"/>
    <w:rsid w:val="00531924"/>
    <w:rsid w:val="005325BE"/>
    <w:rsid w:val="00534B59"/>
    <w:rsid w:val="00536759"/>
    <w:rsid w:val="00536DD3"/>
    <w:rsid w:val="00537326"/>
    <w:rsid w:val="00537C62"/>
    <w:rsid w:val="0054025E"/>
    <w:rsid w:val="005446CB"/>
    <w:rsid w:val="00546970"/>
    <w:rsid w:val="00547BF3"/>
    <w:rsid w:val="00552855"/>
    <w:rsid w:val="005539B2"/>
    <w:rsid w:val="00554E19"/>
    <w:rsid w:val="00555405"/>
    <w:rsid w:val="0056121F"/>
    <w:rsid w:val="005634A0"/>
    <w:rsid w:val="00572505"/>
    <w:rsid w:val="00572F2C"/>
    <w:rsid w:val="005758D5"/>
    <w:rsid w:val="00582809"/>
    <w:rsid w:val="00582F96"/>
    <w:rsid w:val="00584811"/>
    <w:rsid w:val="005865CD"/>
    <w:rsid w:val="0058798C"/>
    <w:rsid w:val="005900FA"/>
    <w:rsid w:val="005935A4"/>
    <w:rsid w:val="005948C2"/>
    <w:rsid w:val="005951C4"/>
    <w:rsid w:val="00595DCA"/>
    <w:rsid w:val="0059779B"/>
    <w:rsid w:val="005A0264"/>
    <w:rsid w:val="005A17C9"/>
    <w:rsid w:val="005A209A"/>
    <w:rsid w:val="005A2A66"/>
    <w:rsid w:val="005A3AB2"/>
    <w:rsid w:val="005A3EAA"/>
    <w:rsid w:val="005A662D"/>
    <w:rsid w:val="005A6CD7"/>
    <w:rsid w:val="005A797A"/>
    <w:rsid w:val="005B1409"/>
    <w:rsid w:val="005B35D7"/>
    <w:rsid w:val="005B392A"/>
    <w:rsid w:val="005B3AA3"/>
    <w:rsid w:val="005B5897"/>
    <w:rsid w:val="005B6F83"/>
    <w:rsid w:val="005B74D1"/>
    <w:rsid w:val="005C545A"/>
    <w:rsid w:val="005C6021"/>
    <w:rsid w:val="005C64B9"/>
    <w:rsid w:val="005C74FB"/>
    <w:rsid w:val="005D065E"/>
    <w:rsid w:val="005D1602"/>
    <w:rsid w:val="005D2258"/>
    <w:rsid w:val="005E385F"/>
    <w:rsid w:val="005E5B81"/>
    <w:rsid w:val="005E79AF"/>
    <w:rsid w:val="005F2494"/>
    <w:rsid w:val="005F2CB1"/>
    <w:rsid w:val="005F3025"/>
    <w:rsid w:val="005F618C"/>
    <w:rsid w:val="005F68FB"/>
    <w:rsid w:val="005F70BD"/>
    <w:rsid w:val="00601BA3"/>
    <w:rsid w:val="0060283C"/>
    <w:rsid w:val="00603916"/>
    <w:rsid w:val="00604F14"/>
    <w:rsid w:val="00611B83"/>
    <w:rsid w:val="00613257"/>
    <w:rsid w:val="00614A8B"/>
    <w:rsid w:val="00620A71"/>
    <w:rsid w:val="00620D80"/>
    <w:rsid w:val="00622A56"/>
    <w:rsid w:val="006234A6"/>
    <w:rsid w:val="00624B4E"/>
    <w:rsid w:val="006257DA"/>
    <w:rsid w:val="006265B7"/>
    <w:rsid w:val="00626CFB"/>
    <w:rsid w:val="00627F51"/>
    <w:rsid w:val="00630001"/>
    <w:rsid w:val="00630D8B"/>
    <w:rsid w:val="006311B3"/>
    <w:rsid w:val="0063284C"/>
    <w:rsid w:val="00636398"/>
    <w:rsid w:val="006368D3"/>
    <w:rsid w:val="006377EC"/>
    <w:rsid w:val="0064094D"/>
    <w:rsid w:val="0064151F"/>
    <w:rsid w:val="00641533"/>
    <w:rsid w:val="0064208D"/>
    <w:rsid w:val="006431C0"/>
    <w:rsid w:val="00643475"/>
    <w:rsid w:val="0064396A"/>
    <w:rsid w:val="00644E12"/>
    <w:rsid w:val="0064624E"/>
    <w:rsid w:val="00646DE8"/>
    <w:rsid w:val="006476CF"/>
    <w:rsid w:val="00650AB9"/>
    <w:rsid w:val="006515DA"/>
    <w:rsid w:val="00653353"/>
    <w:rsid w:val="00655733"/>
    <w:rsid w:val="00655ACD"/>
    <w:rsid w:val="00656A92"/>
    <w:rsid w:val="00656AE1"/>
    <w:rsid w:val="00656DDE"/>
    <w:rsid w:val="00657D96"/>
    <w:rsid w:val="0066011D"/>
    <w:rsid w:val="006607C0"/>
    <w:rsid w:val="006613A6"/>
    <w:rsid w:val="006627A2"/>
    <w:rsid w:val="006634E6"/>
    <w:rsid w:val="006655EE"/>
    <w:rsid w:val="00666B64"/>
    <w:rsid w:val="006678B8"/>
    <w:rsid w:val="00667EE7"/>
    <w:rsid w:val="00670922"/>
    <w:rsid w:val="00670BE1"/>
    <w:rsid w:val="00671721"/>
    <w:rsid w:val="0067215E"/>
    <w:rsid w:val="0067218F"/>
    <w:rsid w:val="00673010"/>
    <w:rsid w:val="006741F2"/>
    <w:rsid w:val="00674CC3"/>
    <w:rsid w:val="00675C72"/>
    <w:rsid w:val="006771F9"/>
    <w:rsid w:val="006776D7"/>
    <w:rsid w:val="0067786B"/>
    <w:rsid w:val="00681003"/>
    <w:rsid w:val="006817C9"/>
    <w:rsid w:val="00683ECE"/>
    <w:rsid w:val="006859C2"/>
    <w:rsid w:val="00695FC2"/>
    <w:rsid w:val="00696880"/>
    <w:rsid w:val="00696949"/>
    <w:rsid w:val="00697052"/>
    <w:rsid w:val="006A197B"/>
    <w:rsid w:val="006A2DE8"/>
    <w:rsid w:val="006A37D7"/>
    <w:rsid w:val="006A46FB"/>
    <w:rsid w:val="006A5E28"/>
    <w:rsid w:val="006A697B"/>
    <w:rsid w:val="006A7AFF"/>
    <w:rsid w:val="006B1816"/>
    <w:rsid w:val="006B2099"/>
    <w:rsid w:val="006B399D"/>
    <w:rsid w:val="006B50CF"/>
    <w:rsid w:val="006B57AC"/>
    <w:rsid w:val="006B7EAB"/>
    <w:rsid w:val="006C03B8"/>
    <w:rsid w:val="006C5B8A"/>
    <w:rsid w:val="006C5EC9"/>
    <w:rsid w:val="006C6059"/>
    <w:rsid w:val="006C7522"/>
    <w:rsid w:val="006D3942"/>
    <w:rsid w:val="006D43D7"/>
    <w:rsid w:val="006D4908"/>
    <w:rsid w:val="006D56CC"/>
    <w:rsid w:val="006D6030"/>
    <w:rsid w:val="006D6F08"/>
    <w:rsid w:val="006E062C"/>
    <w:rsid w:val="006E0AB3"/>
    <w:rsid w:val="006E1C82"/>
    <w:rsid w:val="006E1FC8"/>
    <w:rsid w:val="006E28B7"/>
    <w:rsid w:val="006E2A9B"/>
    <w:rsid w:val="006E32DE"/>
    <w:rsid w:val="006E3310"/>
    <w:rsid w:val="006E3B34"/>
    <w:rsid w:val="006E4E39"/>
    <w:rsid w:val="006E565E"/>
    <w:rsid w:val="006E576E"/>
    <w:rsid w:val="006E673D"/>
    <w:rsid w:val="006E7D3B"/>
    <w:rsid w:val="006F1B70"/>
    <w:rsid w:val="006F2420"/>
    <w:rsid w:val="006F288E"/>
    <w:rsid w:val="006F341D"/>
    <w:rsid w:val="006F3CDE"/>
    <w:rsid w:val="006F47DC"/>
    <w:rsid w:val="006F58D4"/>
    <w:rsid w:val="006F5DC0"/>
    <w:rsid w:val="006F6582"/>
    <w:rsid w:val="0070194A"/>
    <w:rsid w:val="007032A8"/>
    <w:rsid w:val="0070346E"/>
    <w:rsid w:val="007046C5"/>
    <w:rsid w:val="00704AA7"/>
    <w:rsid w:val="00704EDB"/>
    <w:rsid w:val="00705104"/>
    <w:rsid w:val="00705BE8"/>
    <w:rsid w:val="00706101"/>
    <w:rsid w:val="00707072"/>
    <w:rsid w:val="007075BC"/>
    <w:rsid w:val="00707D61"/>
    <w:rsid w:val="00712287"/>
    <w:rsid w:val="00712772"/>
    <w:rsid w:val="007148D3"/>
    <w:rsid w:val="00715B9A"/>
    <w:rsid w:val="007205EC"/>
    <w:rsid w:val="00721300"/>
    <w:rsid w:val="007254DE"/>
    <w:rsid w:val="007256CF"/>
    <w:rsid w:val="007257D0"/>
    <w:rsid w:val="00726EA6"/>
    <w:rsid w:val="00727208"/>
    <w:rsid w:val="00727680"/>
    <w:rsid w:val="00727705"/>
    <w:rsid w:val="007348B1"/>
    <w:rsid w:val="007362A6"/>
    <w:rsid w:val="00736D7D"/>
    <w:rsid w:val="00740E58"/>
    <w:rsid w:val="007445A0"/>
    <w:rsid w:val="0074524B"/>
    <w:rsid w:val="00747D8B"/>
    <w:rsid w:val="00751228"/>
    <w:rsid w:val="0075157E"/>
    <w:rsid w:val="007571E1"/>
    <w:rsid w:val="00757780"/>
    <w:rsid w:val="00757A16"/>
    <w:rsid w:val="007604B2"/>
    <w:rsid w:val="0076316F"/>
    <w:rsid w:val="007640B8"/>
    <w:rsid w:val="00765281"/>
    <w:rsid w:val="00766B1B"/>
    <w:rsid w:val="00766BAD"/>
    <w:rsid w:val="00766D2C"/>
    <w:rsid w:val="00770631"/>
    <w:rsid w:val="007729A2"/>
    <w:rsid w:val="007755F2"/>
    <w:rsid w:val="00776971"/>
    <w:rsid w:val="00780A80"/>
    <w:rsid w:val="00780D9E"/>
    <w:rsid w:val="0078177E"/>
    <w:rsid w:val="00781F6A"/>
    <w:rsid w:val="007820C8"/>
    <w:rsid w:val="0078304C"/>
    <w:rsid w:val="00783127"/>
    <w:rsid w:val="0078349B"/>
    <w:rsid w:val="00783673"/>
    <w:rsid w:val="00785490"/>
    <w:rsid w:val="00785A63"/>
    <w:rsid w:val="007864A2"/>
    <w:rsid w:val="00791415"/>
    <w:rsid w:val="007925EA"/>
    <w:rsid w:val="00793CD8"/>
    <w:rsid w:val="007949DB"/>
    <w:rsid w:val="00794BC2"/>
    <w:rsid w:val="007951AF"/>
    <w:rsid w:val="00795C92"/>
    <w:rsid w:val="00796231"/>
    <w:rsid w:val="007A1536"/>
    <w:rsid w:val="007A1CB3"/>
    <w:rsid w:val="007A306F"/>
    <w:rsid w:val="007A334E"/>
    <w:rsid w:val="007A43A6"/>
    <w:rsid w:val="007A4D91"/>
    <w:rsid w:val="007A58A6"/>
    <w:rsid w:val="007A75B8"/>
    <w:rsid w:val="007B02BC"/>
    <w:rsid w:val="007B3D2D"/>
    <w:rsid w:val="007B418D"/>
    <w:rsid w:val="007B50AE"/>
    <w:rsid w:val="007B51DF"/>
    <w:rsid w:val="007C05DD"/>
    <w:rsid w:val="007C1674"/>
    <w:rsid w:val="007C2279"/>
    <w:rsid w:val="007C3D18"/>
    <w:rsid w:val="007C60BF"/>
    <w:rsid w:val="007C6A07"/>
    <w:rsid w:val="007C75A1"/>
    <w:rsid w:val="007C77A5"/>
    <w:rsid w:val="007D04E5"/>
    <w:rsid w:val="007D05C8"/>
    <w:rsid w:val="007D131A"/>
    <w:rsid w:val="007D206B"/>
    <w:rsid w:val="007D207B"/>
    <w:rsid w:val="007D5901"/>
    <w:rsid w:val="007D7526"/>
    <w:rsid w:val="007E1091"/>
    <w:rsid w:val="007E154D"/>
    <w:rsid w:val="007E1BC3"/>
    <w:rsid w:val="007E2726"/>
    <w:rsid w:val="007E4610"/>
    <w:rsid w:val="007E4715"/>
    <w:rsid w:val="007E4A78"/>
    <w:rsid w:val="007E505B"/>
    <w:rsid w:val="007E7091"/>
    <w:rsid w:val="007F3ED2"/>
    <w:rsid w:val="008024CA"/>
    <w:rsid w:val="0080310E"/>
    <w:rsid w:val="00803FAE"/>
    <w:rsid w:val="0080605F"/>
    <w:rsid w:val="00807786"/>
    <w:rsid w:val="00810DFE"/>
    <w:rsid w:val="00811FCB"/>
    <w:rsid w:val="008158D6"/>
    <w:rsid w:val="00816104"/>
    <w:rsid w:val="00816274"/>
    <w:rsid w:val="00817196"/>
    <w:rsid w:val="00817C81"/>
    <w:rsid w:val="00821FAA"/>
    <w:rsid w:val="008235DB"/>
    <w:rsid w:val="00824AB4"/>
    <w:rsid w:val="00825C42"/>
    <w:rsid w:val="00825D25"/>
    <w:rsid w:val="00825D4D"/>
    <w:rsid w:val="008269DC"/>
    <w:rsid w:val="00827D6F"/>
    <w:rsid w:val="0083562B"/>
    <w:rsid w:val="008376AC"/>
    <w:rsid w:val="008402C5"/>
    <w:rsid w:val="00840806"/>
    <w:rsid w:val="008444E8"/>
    <w:rsid w:val="00844E80"/>
    <w:rsid w:val="00846FE7"/>
    <w:rsid w:val="00850223"/>
    <w:rsid w:val="00851221"/>
    <w:rsid w:val="00853E45"/>
    <w:rsid w:val="00855DE1"/>
    <w:rsid w:val="00856911"/>
    <w:rsid w:val="008600D5"/>
    <w:rsid w:val="008628F5"/>
    <w:rsid w:val="008677FD"/>
    <w:rsid w:val="00867FDE"/>
    <w:rsid w:val="008706D4"/>
    <w:rsid w:val="00870F8A"/>
    <w:rsid w:val="008719A4"/>
    <w:rsid w:val="00871D23"/>
    <w:rsid w:val="008725D6"/>
    <w:rsid w:val="00874265"/>
    <w:rsid w:val="00874312"/>
    <w:rsid w:val="0087437C"/>
    <w:rsid w:val="00875CD7"/>
    <w:rsid w:val="00876B4D"/>
    <w:rsid w:val="00877F18"/>
    <w:rsid w:val="00883532"/>
    <w:rsid w:val="00883AF6"/>
    <w:rsid w:val="00891CCB"/>
    <w:rsid w:val="00892052"/>
    <w:rsid w:val="008939DA"/>
    <w:rsid w:val="00893EE3"/>
    <w:rsid w:val="0089405E"/>
    <w:rsid w:val="008941E3"/>
    <w:rsid w:val="00894A88"/>
    <w:rsid w:val="00895386"/>
    <w:rsid w:val="008A041A"/>
    <w:rsid w:val="008A0B29"/>
    <w:rsid w:val="008A21FF"/>
    <w:rsid w:val="008A2CE2"/>
    <w:rsid w:val="008A30AC"/>
    <w:rsid w:val="008A3482"/>
    <w:rsid w:val="008A3990"/>
    <w:rsid w:val="008A44B8"/>
    <w:rsid w:val="008A51A8"/>
    <w:rsid w:val="008A54C7"/>
    <w:rsid w:val="008A77D8"/>
    <w:rsid w:val="008B0483"/>
    <w:rsid w:val="008B120C"/>
    <w:rsid w:val="008B45EA"/>
    <w:rsid w:val="008B51A0"/>
    <w:rsid w:val="008B592A"/>
    <w:rsid w:val="008B7193"/>
    <w:rsid w:val="008B7B5C"/>
    <w:rsid w:val="008C0C99"/>
    <w:rsid w:val="008C2017"/>
    <w:rsid w:val="008C2739"/>
    <w:rsid w:val="008C290D"/>
    <w:rsid w:val="008C4958"/>
    <w:rsid w:val="008C4BAA"/>
    <w:rsid w:val="008C6AE8"/>
    <w:rsid w:val="008C7573"/>
    <w:rsid w:val="008D00A5"/>
    <w:rsid w:val="008D33AB"/>
    <w:rsid w:val="008D34F1"/>
    <w:rsid w:val="008D39D8"/>
    <w:rsid w:val="008D59C9"/>
    <w:rsid w:val="008D6D1A"/>
    <w:rsid w:val="008E05B0"/>
    <w:rsid w:val="008E065E"/>
    <w:rsid w:val="008E088A"/>
    <w:rsid w:val="008E0927"/>
    <w:rsid w:val="008E1909"/>
    <w:rsid w:val="008E2083"/>
    <w:rsid w:val="008E666B"/>
    <w:rsid w:val="008F1EAB"/>
    <w:rsid w:val="008F33DC"/>
    <w:rsid w:val="008F477F"/>
    <w:rsid w:val="00902350"/>
    <w:rsid w:val="0090336B"/>
    <w:rsid w:val="009053AA"/>
    <w:rsid w:val="009053B7"/>
    <w:rsid w:val="00905B0E"/>
    <w:rsid w:val="00905C45"/>
    <w:rsid w:val="00906939"/>
    <w:rsid w:val="00910B7D"/>
    <w:rsid w:val="00911DFB"/>
    <w:rsid w:val="009123E8"/>
    <w:rsid w:val="009139D9"/>
    <w:rsid w:val="00913AE4"/>
    <w:rsid w:val="0091433A"/>
    <w:rsid w:val="009146FE"/>
    <w:rsid w:val="00914AD8"/>
    <w:rsid w:val="00916079"/>
    <w:rsid w:val="009175F0"/>
    <w:rsid w:val="00917CE9"/>
    <w:rsid w:val="00920BF2"/>
    <w:rsid w:val="0092151D"/>
    <w:rsid w:val="00922010"/>
    <w:rsid w:val="009232B6"/>
    <w:rsid w:val="0092354E"/>
    <w:rsid w:val="00924539"/>
    <w:rsid w:val="00925FFD"/>
    <w:rsid w:val="00931927"/>
    <w:rsid w:val="00931BD9"/>
    <w:rsid w:val="009366A9"/>
    <w:rsid w:val="009368F3"/>
    <w:rsid w:val="009400AD"/>
    <w:rsid w:val="009408E0"/>
    <w:rsid w:val="00941636"/>
    <w:rsid w:val="00943118"/>
    <w:rsid w:val="00943742"/>
    <w:rsid w:val="00943EE2"/>
    <w:rsid w:val="00945907"/>
    <w:rsid w:val="00945C05"/>
    <w:rsid w:val="00946945"/>
    <w:rsid w:val="00947713"/>
    <w:rsid w:val="009503D0"/>
    <w:rsid w:val="00950DE7"/>
    <w:rsid w:val="00953920"/>
    <w:rsid w:val="00953D47"/>
    <w:rsid w:val="00955EA2"/>
    <w:rsid w:val="0095681E"/>
    <w:rsid w:val="009572D4"/>
    <w:rsid w:val="0095792D"/>
    <w:rsid w:val="00960892"/>
    <w:rsid w:val="00961921"/>
    <w:rsid w:val="00963C49"/>
    <w:rsid w:val="0096430A"/>
    <w:rsid w:val="0096554B"/>
    <w:rsid w:val="0096584A"/>
    <w:rsid w:val="00965F3D"/>
    <w:rsid w:val="0096724B"/>
    <w:rsid w:val="00971F08"/>
    <w:rsid w:val="00975AAA"/>
    <w:rsid w:val="0097603D"/>
    <w:rsid w:val="00976949"/>
    <w:rsid w:val="009772A9"/>
    <w:rsid w:val="00977BFC"/>
    <w:rsid w:val="00980477"/>
    <w:rsid w:val="00982C79"/>
    <w:rsid w:val="009841B9"/>
    <w:rsid w:val="00985253"/>
    <w:rsid w:val="009853B3"/>
    <w:rsid w:val="00990630"/>
    <w:rsid w:val="00991761"/>
    <w:rsid w:val="009938FD"/>
    <w:rsid w:val="00994DCA"/>
    <w:rsid w:val="009960EC"/>
    <w:rsid w:val="009970DD"/>
    <w:rsid w:val="009970F1"/>
    <w:rsid w:val="009A0FBA"/>
    <w:rsid w:val="009A1044"/>
    <w:rsid w:val="009A1601"/>
    <w:rsid w:val="009A17A7"/>
    <w:rsid w:val="009A3BB6"/>
    <w:rsid w:val="009A462D"/>
    <w:rsid w:val="009A5CBA"/>
    <w:rsid w:val="009A7AF6"/>
    <w:rsid w:val="009A7CF2"/>
    <w:rsid w:val="009B1F30"/>
    <w:rsid w:val="009B3AC2"/>
    <w:rsid w:val="009B407B"/>
    <w:rsid w:val="009B4DF4"/>
    <w:rsid w:val="009B564E"/>
    <w:rsid w:val="009B5F64"/>
    <w:rsid w:val="009B60D3"/>
    <w:rsid w:val="009B63C9"/>
    <w:rsid w:val="009B6627"/>
    <w:rsid w:val="009B764E"/>
    <w:rsid w:val="009B7E87"/>
    <w:rsid w:val="009C0111"/>
    <w:rsid w:val="009C0169"/>
    <w:rsid w:val="009C04BA"/>
    <w:rsid w:val="009C07A1"/>
    <w:rsid w:val="009C343A"/>
    <w:rsid w:val="009C403E"/>
    <w:rsid w:val="009D1B56"/>
    <w:rsid w:val="009D330C"/>
    <w:rsid w:val="009D3AA6"/>
    <w:rsid w:val="009D4FF0"/>
    <w:rsid w:val="009D703C"/>
    <w:rsid w:val="009D718F"/>
    <w:rsid w:val="009E0402"/>
    <w:rsid w:val="009E068F"/>
    <w:rsid w:val="009E14E0"/>
    <w:rsid w:val="009E2B3E"/>
    <w:rsid w:val="009E35DB"/>
    <w:rsid w:val="009E381A"/>
    <w:rsid w:val="009E47A3"/>
    <w:rsid w:val="009E687C"/>
    <w:rsid w:val="009E6AAF"/>
    <w:rsid w:val="009F08F3"/>
    <w:rsid w:val="009F13D0"/>
    <w:rsid w:val="009F344F"/>
    <w:rsid w:val="009F4E55"/>
    <w:rsid w:val="00A02B89"/>
    <w:rsid w:val="00A031D8"/>
    <w:rsid w:val="00A048A8"/>
    <w:rsid w:val="00A04F49"/>
    <w:rsid w:val="00A13E54"/>
    <w:rsid w:val="00A14CDF"/>
    <w:rsid w:val="00A16C20"/>
    <w:rsid w:val="00A17F63"/>
    <w:rsid w:val="00A2193B"/>
    <w:rsid w:val="00A2351A"/>
    <w:rsid w:val="00A264A9"/>
    <w:rsid w:val="00A26DCF"/>
    <w:rsid w:val="00A27785"/>
    <w:rsid w:val="00A30187"/>
    <w:rsid w:val="00A30599"/>
    <w:rsid w:val="00A3218F"/>
    <w:rsid w:val="00A328D0"/>
    <w:rsid w:val="00A33A57"/>
    <w:rsid w:val="00A3448A"/>
    <w:rsid w:val="00A36297"/>
    <w:rsid w:val="00A37F85"/>
    <w:rsid w:val="00A41E2B"/>
    <w:rsid w:val="00A45B74"/>
    <w:rsid w:val="00A51AA6"/>
    <w:rsid w:val="00A52E1D"/>
    <w:rsid w:val="00A61499"/>
    <w:rsid w:val="00A61A97"/>
    <w:rsid w:val="00A62A77"/>
    <w:rsid w:val="00A62DBE"/>
    <w:rsid w:val="00A63483"/>
    <w:rsid w:val="00A657D7"/>
    <w:rsid w:val="00A660AC"/>
    <w:rsid w:val="00A6757B"/>
    <w:rsid w:val="00A67E6C"/>
    <w:rsid w:val="00A71B99"/>
    <w:rsid w:val="00A739D0"/>
    <w:rsid w:val="00A73A7C"/>
    <w:rsid w:val="00A73DFA"/>
    <w:rsid w:val="00A73FC8"/>
    <w:rsid w:val="00A75193"/>
    <w:rsid w:val="00A75284"/>
    <w:rsid w:val="00A75974"/>
    <w:rsid w:val="00A761D4"/>
    <w:rsid w:val="00A77EC4"/>
    <w:rsid w:val="00A8039E"/>
    <w:rsid w:val="00A83488"/>
    <w:rsid w:val="00A914B4"/>
    <w:rsid w:val="00A92879"/>
    <w:rsid w:val="00A9442A"/>
    <w:rsid w:val="00A95572"/>
    <w:rsid w:val="00A97C63"/>
    <w:rsid w:val="00AA016F"/>
    <w:rsid w:val="00AA06D6"/>
    <w:rsid w:val="00AA1ED6"/>
    <w:rsid w:val="00AA34CA"/>
    <w:rsid w:val="00AA3A21"/>
    <w:rsid w:val="00AA51D6"/>
    <w:rsid w:val="00AB0BC8"/>
    <w:rsid w:val="00AB11CA"/>
    <w:rsid w:val="00AB14D9"/>
    <w:rsid w:val="00AB4AB8"/>
    <w:rsid w:val="00AB655E"/>
    <w:rsid w:val="00AC007F"/>
    <w:rsid w:val="00AC19A8"/>
    <w:rsid w:val="00AC2261"/>
    <w:rsid w:val="00AC2ECD"/>
    <w:rsid w:val="00AC3119"/>
    <w:rsid w:val="00AC3178"/>
    <w:rsid w:val="00AC34A1"/>
    <w:rsid w:val="00AC49FB"/>
    <w:rsid w:val="00AC5A10"/>
    <w:rsid w:val="00AC7065"/>
    <w:rsid w:val="00AD021C"/>
    <w:rsid w:val="00AD0AA3"/>
    <w:rsid w:val="00AD214B"/>
    <w:rsid w:val="00AD3404"/>
    <w:rsid w:val="00AD3F94"/>
    <w:rsid w:val="00AD4A5A"/>
    <w:rsid w:val="00AE04DF"/>
    <w:rsid w:val="00AE26CA"/>
    <w:rsid w:val="00AE27AC"/>
    <w:rsid w:val="00AE40E0"/>
    <w:rsid w:val="00AE4DBA"/>
    <w:rsid w:val="00AE4F07"/>
    <w:rsid w:val="00AE646B"/>
    <w:rsid w:val="00AF0847"/>
    <w:rsid w:val="00AF1C5D"/>
    <w:rsid w:val="00AF2CB0"/>
    <w:rsid w:val="00AF42D7"/>
    <w:rsid w:val="00AF572F"/>
    <w:rsid w:val="00B006FE"/>
    <w:rsid w:val="00B007CB"/>
    <w:rsid w:val="00B02AA9"/>
    <w:rsid w:val="00B02FA3"/>
    <w:rsid w:val="00B04582"/>
    <w:rsid w:val="00B048DC"/>
    <w:rsid w:val="00B05084"/>
    <w:rsid w:val="00B0622A"/>
    <w:rsid w:val="00B13186"/>
    <w:rsid w:val="00B13A17"/>
    <w:rsid w:val="00B157F9"/>
    <w:rsid w:val="00B200A9"/>
    <w:rsid w:val="00B20256"/>
    <w:rsid w:val="00B20D09"/>
    <w:rsid w:val="00B215BD"/>
    <w:rsid w:val="00B22F69"/>
    <w:rsid w:val="00B23FE7"/>
    <w:rsid w:val="00B2763F"/>
    <w:rsid w:val="00B27AAC"/>
    <w:rsid w:val="00B307FA"/>
    <w:rsid w:val="00B30929"/>
    <w:rsid w:val="00B370F8"/>
    <w:rsid w:val="00B372AA"/>
    <w:rsid w:val="00B40445"/>
    <w:rsid w:val="00B409E0"/>
    <w:rsid w:val="00B41888"/>
    <w:rsid w:val="00B43709"/>
    <w:rsid w:val="00B44CF1"/>
    <w:rsid w:val="00B45A52"/>
    <w:rsid w:val="00B46175"/>
    <w:rsid w:val="00B461C5"/>
    <w:rsid w:val="00B50C33"/>
    <w:rsid w:val="00B548B7"/>
    <w:rsid w:val="00B5526E"/>
    <w:rsid w:val="00B56628"/>
    <w:rsid w:val="00B62267"/>
    <w:rsid w:val="00B63FD6"/>
    <w:rsid w:val="00B661D2"/>
    <w:rsid w:val="00B664C7"/>
    <w:rsid w:val="00B668EA"/>
    <w:rsid w:val="00B71EB6"/>
    <w:rsid w:val="00B72A20"/>
    <w:rsid w:val="00B739F6"/>
    <w:rsid w:val="00B7549F"/>
    <w:rsid w:val="00B81A6C"/>
    <w:rsid w:val="00B84059"/>
    <w:rsid w:val="00B847D9"/>
    <w:rsid w:val="00B84EE1"/>
    <w:rsid w:val="00B85DE5"/>
    <w:rsid w:val="00B90F73"/>
    <w:rsid w:val="00B91DB0"/>
    <w:rsid w:val="00B93B59"/>
    <w:rsid w:val="00B9406A"/>
    <w:rsid w:val="00B94907"/>
    <w:rsid w:val="00B973F0"/>
    <w:rsid w:val="00BA1422"/>
    <w:rsid w:val="00BA2280"/>
    <w:rsid w:val="00BA2A08"/>
    <w:rsid w:val="00BA48FB"/>
    <w:rsid w:val="00BA49D9"/>
    <w:rsid w:val="00BA500A"/>
    <w:rsid w:val="00BA56D2"/>
    <w:rsid w:val="00BA76E0"/>
    <w:rsid w:val="00BB010B"/>
    <w:rsid w:val="00BB0201"/>
    <w:rsid w:val="00BB1B73"/>
    <w:rsid w:val="00BB2A25"/>
    <w:rsid w:val="00BB51E9"/>
    <w:rsid w:val="00BB53B0"/>
    <w:rsid w:val="00BC0FDC"/>
    <w:rsid w:val="00BC3053"/>
    <w:rsid w:val="00BC427C"/>
    <w:rsid w:val="00BC4D2E"/>
    <w:rsid w:val="00BD032D"/>
    <w:rsid w:val="00BD07F3"/>
    <w:rsid w:val="00BD0E60"/>
    <w:rsid w:val="00BD19B5"/>
    <w:rsid w:val="00BD48AC"/>
    <w:rsid w:val="00BD5F1A"/>
    <w:rsid w:val="00BE1234"/>
    <w:rsid w:val="00BE2A2D"/>
    <w:rsid w:val="00BE2E4B"/>
    <w:rsid w:val="00BE2FA6"/>
    <w:rsid w:val="00BE3124"/>
    <w:rsid w:val="00BE333F"/>
    <w:rsid w:val="00BE7406"/>
    <w:rsid w:val="00BE7603"/>
    <w:rsid w:val="00BF0CCE"/>
    <w:rsid w:val="00BF2A04"/>
    <w:rsid w:val="00BF3279"/>
    <w:rsid w:val="00BF4234"/>
    <w:rsid w:val="00BF74C7"/>
    <w:rsid w:val="00C015F1"/>
    <w:rsid w:val="00C0165D"/>
    <w:rsid w:val="00C01F33"/>
    <w:rsid w:val="00C02CC6"/>
    <w:rsid w:val="00C02D64"/>
    <w:rsid w:val="00C040F7"/>
    <w:rsid w:val="00C044AB"/>
    <w:rsid w:val="00C047B4"/>
    <w:rsid w:val="00C05706"/>
    <w:rsid w:val="00C05D9B"/>
    <w:rsid w:val="00C07377"/>
    <w:rsid w:val="00C07A83"/>
    <w:rsid w:val="00C10478"/>
    <w:rsid w:val="00C12107"/>
    <w:rsid w:val="00C1442F"/>
    <w:rsid w:val="00C14D4B"/>
    <w:rsid w:val="00C154BB"/>
    <w:rsid w:val="00C248C0"/>
    <w:rsid w:val="00C2508D"/>
    <w:rsid w:val="00C268E6"/>
    <w:rsid w:val="00C279B5"/>
    <w:rsid w:val="00C27C45"/>
    <w:rsid w:val="00C30C03"/>
    <w:rsid w:val="00C31C60"/>
    <w:rsid w:val="00C34AE6"/>
    <w:rsid w:val="00C358B2"/>
    <w:rsid w:val="00C3719D"/>
    <w:rsid w:val="00C37741"/>
    <w:rsid w:val="00C37CB2"/>
    <w:rsid w:val="00C44C9B"/>
    <w:rsid w:val="00C47049"/>
    <w:rsid w:val="00C473A5"/>
    <w:rsid w:val="00C54995"/>
    <w:rsid w:val="00C54D41"/>
    <w:rsid w:val="00C559E1"/>
    <w:rsid w:val="00C603BA"/>
    <w:rsid w:val="00C60783"/>
    <w:rsid w:val="00C60E7C"/>
    <w:rsid w:val="00C64672"/>
    <w:rsid w:val="00C70697"/>
    <w:rsid w:val="00C72093"/>
    <w:rsid w:val="00C72EF4"/>
    <w:rsid w:val="00C744FE"/>
    <w:rsid w:val="00C75D2F"/>
    <w:rsid w:val="00C767BE"/>
    <w:rsid w:val="00C76E3C"/>
    <w:rsid w:val="00C77700"/>
    <w:rsid w:val="00C81568"/>
    <w:rsid w:val="00C9027A"/>
    <w:rsid w:val="00C9068E"/>
    <w:rsid w:val="00C90B69"/>
    <w:rsid w:val="00C93774"/>
    <w:rsid w:val="00C93814"/>
    <w:rsid w:val="00C93C4B"/>
    <w:rsid w:val="00C944AB"/>
    <w:rsid w:val="00C94C69"/>
    <w:rsid w:val="00C95B40"/>
    <w:rsid w:val="00C960EF"/>
    <w:rsid w:val="00C96119"/>
    <w:rsid w:val="00CA1ED8"/>
    <w:rsid w:val="00CA3763"/>
    <w:rsid w:val="00CA5A37"/>
    <w:rsid w:val="00CB09B4"/>
    <w:rsid w:val="00CB1DDC"/>
    <w:rsid w:val="00CB1F63"/>
    <w:rsid w:val="00CB7170"/>
    <w:rsid w:val="00CB7274"/>
    <w:rsid w:val="00CC040E"/>
    <w:rsid w:val="00CC04D9"/>
    <w:rsid w:val="00CC111F"/>
    <w:rsid w:val="00CC2011"/>
    <w:rsid w:val="00CC3EA0"/>
    <w:rsid w:val="00CC7B45"/>
    <w:rsid w:val="00CC7C4A"/>
    <w:rsid w:val="00CD1188"/>
    <w:rsid w:val="00CD170F"/>
    <w:rsid w:val="00CD2ED1"/>
    <w:rsid w:val="00CD337B"/>
    <w:rsid w:val="00CE0424"/>
    <w:rsid w:val="00CE270C"/>
    <w:rsid w:val="00CE4BF6"/>
    <w:rsid w:val="00CE7561"/>
    <w:rsid w:val="00CF0CE0"/>
    <w:rsid w:val="00CF1354"/>
    <w:rsid w:val="00CF1AAA"/>
    <w:rsid w:val="00CF3B1F"/>
    <w:rsid w:val="00CF3BF6"/>
    <w:rsid w:val="00CF4AEA"/>
    <w:rsid w:val="00CF4BF0"/>
    <w:rsid w:val="00CF625B"/>
    <w:rsid w:val="00CF687E"/>
    <w:rsid w:val="00D01A07"/>
    <w:rsid w:val="00D023F0"/>
    <w:rsid w:val="00D0349B"/>
    <w:rsid w:val="00D10249"/>
    <w:rsid w:val="00D10468"/>
    <w:rsid w:val="00D105BB"/>
    <w:rsid w:val="00D115C3"/>
    <w:rsid w:val="00D11897"/>
    <w:rsid w:val="00D13135"/>
    <w:rsid w:val="00D13E4E"/>
    <w:rsid w:val="00D239A7"/>
    <w:rsid w:val="00D23F47"/>
    <w:rsid w:val="00D23FD2"/>
    <w:rsid w:val="00D348F2"/>
    <w:rsid w:val="00D36737"/>
    <w:rsid w:val="00D36E71"/>
    <w:rsid w:val="00D37D87"/>
    <w:rsid w:val="00D40B33"/>
    <w:rsid w:val="00D42656"/>
    <w:rsid w:val="00D4318F"/>
    <w:rsid w:val="00D43621"/>
    <w:rsid w:val="00D438BF"/>
    <w:rsid w:val="00D440F8"/>
    <w:rsid w:val="00D462FB"/>
    <w:rsid w:val="00D546FF"/>
    <w:rsid w:val="00D5578D"/>
    <w:rsid w:val="00D55AD5"/>
    <w:rsid w:val="00D576CA"/>
    <w:rsid w:val="00D617F5"/>
    <w:rsid w:val="00D61AF5"/>
    <w:rsid w:val="00D62662"/>
    <w:rsid w:val="00D652B5"/>
    <w:rsid w:val="00D652CB"/>
    <w:rsid w:val="00D66155"/>
    <w:rsid w:val="00D708B0"/>
    <w:rsid w:val="00D75D37"/>
    <w:rsid w:val="00D778B3"/>
    <w:rsid w:val="00D77B1D"/>
    <w:rsid w:val="00D8021F"/>
    <w:rsid w:val="00D80383"/>
    <w:rsid w:val="00D823C6"/>
    <w:rsid w:val="00D82491"/>
    <w:rsid w:val="00D8327F"/>
    <w:rsid w:val="00D86CA3"/>
    <w:rsid w:val="00D871CE"/>
    <w:rsid w:val="00D9196D"/>
    <w:rsid w:val="00D92982"/>
    <w:rsid w:val="00D974A8"/>
    <w:rsid w:val="00D97989"/>
    <w:rsid w:val="00DA305E"/>
    <w:rsid w:val="00DA4F6B"/>
    <w:rsid w:val="00DA5417"/>
    <w:rsid w:val="00DA56E8"/>
    <w:rsid w:val="00DB0A9F"/>
    <w:rsid w:val="00DB377D"/>
    <w:rsid w:val="00DC2D36"/>
    <w:rsid w:val="00DC36C4"/>
    <w:rsid w:val="00DC53EF"/>
    <w:rsid w:val="00DD6B43"/>
    <w:rsid w:val="00DD6F43"/>
    <w:rsid w:val="00DE04E4"/>
    <w:rsid w:val="00DE4A5F"/>
    <w:rsid w:val="00DE5608"/>
    <w:rsid w:val="00DE58D0"/>
    <w:rsid w:val="00DE654F"/>
    <w:rsid w:val="00DF0B6E"/>
    <w:rsid w:val="00DF15E0"/>
    <w:rsid w:val="00DF37A0"/>
    <w:rsid w:val="00DF385C"/>
    <w:rsid w:val="00DF620E"/>
    <w:rsid w:val="00E0040E"/>
    <w:rsid w:val="00E047CC"/>
    <w:rsid w:val="00E05539"/>
    <w:rsid w:val="00E110E7"/>
    <w:rsid w:val="00E11B20"/>
    <w:rsid w:val="00E122B9"/>
    <w:rsid w:val="00E159AE"/>
    <w:rsid w:val="00E17FA2"/>
    <w:rsid w:val="00E22330"/>
    <w:rsid w:val="00E2595C"/>
    <w:rsid w:val="00E25F11"/>
    <w:rsid w:val="00E26B3C"/>
    <w:rsid w:val="00E30B5A"/>
    <w:rsid w:val="00E30D47"/>
    <w:rsid w:val="00E3123D"/>
    <w:rsid w:val="00E31461"/>
    <w:rsid w:val="00E31896"/>
    <w:rsid w:val="00E31D43"/>
    <w:rsid w:val="00E32608"/>
    <w:rsid w:val="00E34188"/>
    <w:rsid w:val="00E34B6E"/>
    <w:rsid w:val="00E35559"/>
    <w:rsid w:val="00E362A6"/>
    <w:rsid w:val="00E3723A"/>
    <w:rsid w:val="00E37299"/>
    <w:rsid w:val="00E37860"/>
    <w:rsid w:val="00E402DD"/>
    <w:rsid w:val="00E40FC1"/>
    <w:rsid w:val="00E41A00"/>
    <w:rsid w:val="00E446F1"/>
    <w:rsid w:val="00E45437"/>
    <w:rsid w:val="00E46886"/>
    <w:rsid w:val="00E47AEF"/>
    <w:rsid w:val="00E53B75"/>
    <w:rsid w:val="00E54914"/>
    <w:rsid w:val="00E54AFA"/>
    <w:rsid w:val="00E54E3B"/>
    <w:rsid w:val="00E54F8F"/>
    <w:rsid w:val="00E57565"/>
    <w:rsid w:val="00E63838"/>
    <w:rsid w:val="00E64434"/>
    <w:rsid w:val="00E64597"/>
    <w:rsid w:val="00E64691"/>
    <w:rsid w:val="00E676D3"/>
    <w:rsid w:val="00E67751"/>
    <w:rsid w:val="00E67C51"/>
    <w:rsid w:val="00E72EFC"/>
    <w:rsid w:val="00E7310E"/>
    <w:rsid w:val="00E73980"/>
    <w:rsid w:val="00E758EC"/>
    <w:rsid w:val="00E80238"/>
    <w:rsid w:val="00E80CF3"/>
    <w:rsid w:val="00E8234C"/>
    <w:rsid w:val="00E83AA9"/>
    <w:rsid w:val="00E83E4D"/>
    <w:rsid w:val="00E858F4"/>
    <w:rsid w:val="00E85928"/>
    <w:rsid w:val="00E85FF9"/>
    <w:rsid w:val="00E8615E"/>
    <w:rsid w:val="00E87822"/>
    <w:rsid w:val="00E90395"/>
    <w:rsid w:val="00E90E49"/>
    <w:rsid w:val="00E917F9"/>
    <w:rsid w:val="00E9291C"/>
    <w:rsid w:val="00E93FFE"/>
    <w:rsid w:val="00E94562"/>
    <w:rsid w:val="00E94F8A"/>
    <w:rsid w:val="00EA5CD0"/>
    <w:rsid w:val="00EA684A"/>
    <w:rsid w:val="00EA7A41"/>
    <w:rsid w:val="00EB077B"/>
    <w:rsid w:val="00EB4EA2"/>
    <w:rsid w:val="00EC0A58"/>
    <w:rsid w:val="00EC0BB1"/>
    <w:rsid w:val="00EC112F"/>
    <w:rsid w:val="00EC136E"/>
    <w:rsid w:val="00EC24D5"/>
    <w:rsid w:val="00EC27C6"/>
    <w:rsid w:val="00EC4207"/>
    <w:rsid w:val="00EC5653"/>
    <w:rsid w:val="00EC71CE"/>
    <w:rsid w:val="00ED1006"/>
    <w:rsid w:val="00ED5A35"/>
    <w:rsid w:val="00ED68EF"/>
    <w:rsid w:val="00ED708D"/>
    <w:rsid w:val="00ED72C4"/>
    <w:rsid w:val="00ED7CF1"/>
    <w:rsid w:val="00EE0BA1"/>
    <w:rsid w:val="00EF18FE"/>
    <w:rsid w:val="00EF5787"/>
    <w:rsid w:val="00EF60D0"/>
    <w:rsid w:val="00F01E62"/>
    <w:rsid w:val="00F0528D"/>
    <w:rsid w:val="00F054A1"/>
    <w:rsid w:val="00F06C67"/>
    <w:rsid w:val="00F06DFD"/>
    <w:rsid w:val="00F071D1"/>
    <w:rsid w:val="00F0745A"/>
    <w:rsid w:val="00F07533"/>
    <w:rsid w:val="00F10629"/>
    <w:rsid w:val="00F126CE"/>
    <w:rsid w:val="00F12B09"/>
    <w:rsid w:val="00F13C0A"/>
    <w:rsid w:val="00F1454E"/>
    <w:rsid w:val="00F15BEA"/>
    <w:rsid w:val="00F15FA5"/>
    <w:rsid w:val="00F209B7"/>
    <w:rsid w:val="00F20F5C"/>
    <w:rsid w:val="00F2186E"/>
    <w:rsid w:val="00F22334"/>
    <w:rsid w:val="00F2376F"/>
    <w:rsid w:val="00F243D8"/>
    <w:rsid w:val="00F25115"/>
    <w:rsid w:val="00F30353"/>
    <w:rsid w:val="00F30828"/>
    <w:rsid w:val="00F3118E"/>
    <w:rsid w:val="00F311F6"/>
    <w:rsid w:val="00F313D6"/>
    <w:rsid w:val="00F320D0"/>
    <w:rsid w:val="00F33774"/>
    <w:rsid w:val="00F40581"/>
    <w:rsid w:val="00F40F0C"/>
    <w:rsid w:val="00F42B5E"/>
    <w:rsid w:val="00F47483"/>
    <w:rsid w:val="00F4766C"/>
    <w:rsid w:val="00F5060E"/>
    <w:rsid w:val="00F50677"/>
    <w:rsid w:val="00F507D1"/>
    <w:rsid w:val="00F519CE"/>
    <w:rsid w:val="00F51ADA"/>
    <w:rsid w:val="00F536EE"/>
    <w:rsid w:val="00F549CE"/>
    <w:rsid w:val="00F60203"/>
    <w:rsid w:val="00F607C5"/>
    <w:rsid w:val="00F60DEA"/>
    <w:rsid w:val="00F6237D"/>
    <w:rsid w:val="00F6302A"/>
    <w:rsid w:val="00F63950"/>
    <w:rsid w:val="00F63E21"/>
    <w:rsid w:val="00F64C2B"/>
    <w:rsid w:val="00F651BE"/>
    <w:rsid w:val="00F67293"/>
    <w:rsid w:val="00F67F53"/>
    <w:rsid w:val="00F703BE"/>
    <w:rsid w:val="00F71F69"/>
    <w:rsid w:val="00F72B72"/>
    <w:rsid w:val="00F731C4"/>
    <w:rsid w:val="00F74BB9"/>
    <w:rsid w:val="00F75582"/>
    <w:rsid w:val="00F76EFA"/>
    <w:rsid w:val="00F773B2"/>
    <w:rsid w:val="00F804BE"/>
    <w:rsid w:val="00F817CE"/>
    <w:rsid w:val="00F8456C"/>
    <w:rsid w:val="00F859D8"/>
    <w:rsid w:val="00F868F5"/>
    <w:rsid w:val="00F87042"/>
    <w:rsid w:val="00F90330"/>
    <w:rsid w:val="00F9056A"/>
    <w:rsid w:val="00F906C1"/>
    <w:rsid w:val="00F90F8D"/>
    <w:rsid w:val="00F92782"/>
    <w:rsid w:val="00F93AA9"/>
    <w:rsid w:val="00F941A3"/>
    <w:rsid w:val="00F96985"/>
    <w:rsid w:val="00F97838"/>
    <w:rsid w:val="00FA2133"/>
    <w:rsid w:val="00FA2BB3"/>
    <w:rsid w:val="00FB39BB"/>
    <w:rsid w:val="00FB42C4"/>
    <w:rsid w:val="00FB4C80"/>
    <w:rsid w:val="00FB5C7E"/>
    <w:rsid w:val="00FB6801"/>
    <w:rsid w:val="00FB6A6A"/>
    <w:rsid w:val="00FB72D9"/>
    <w:rsid w:val="00FB7A73"/>
    <w:rsid w:val="00FC0E6D"/>
    <w:rsid w:val="00FC5F15"/>
    <w:rsid w:val="00FC6243"/>
    <w:rsid w:val="00FC7429"/>
    <w:rsid w:val="00FC79E5"/>
    <w:rsid w:val="00FD07F6"/>
    <w:rsid w:val="00FD1EC8"/>
    <w:rsid w:val="00FD1F04"/>
    <w:rsid w:val="00FD382A"/>
    <w:rsid w:val="00FD47ED"/>
    <w:rsid w:val="00FD74DB"/>
    <w:rsid w:val="00FD7660"/>
    <w:rsid w:val="00FE0655"/>
    <w:rsid w:val="00FE08EF"/>
    <w:rsid w:val="00FE09B2"/>
    <w:rsid w:val="00FE2365"/>
    <w:rsid w:val="00FE2E9C"/>
    <w:rsid w:val="00FE37D7"/>
    <w:rsid w:val="00FE3D84"/>
    <w:rsid w:val="00FE4C7B"/>
    <w:rsid w:val="00FE6227"/>
    <w:rsid w:val="00FE7336"/>
    <w:rsid w:val="00FE7699"/>
    <w:rsid w:val="00FE787C"/>
    <w:rsid w:val="00FF19D2"/>
    <w:rsid w:val="00FF45A5"/>
    <w:rsid w:val="00FF46DC"/>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7313D022-D1E9-4780-A773-021774815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rsid w:val="00161FDA"/>
    <w:rPr>
      <w:lang w:eastAsia="en-US"/>
    </w:rPr>
  </w:style>
  <w:style w:type="character" w:customStyle="1" w:styleId="B3Char">
    <w:name w:val="B3 Char"/>
    <w:rsid w:val="00161FDA"/>
    <w:rPr>
      <w:lang w:eastAsia="en-US"/>
    </w:rPr>
  </w:style>
  <w:style w:type="paragraph" w:styleId="Revision">
    <w:name w:val="Revision"/>
    <w:hidden/>
    <w:uiPriority w:val="99"/>
    <w:semiHidden/>
    <w:rsid w:val="00033408"/>
    <w:rPr>
      <w:rFonts w:ascii="Times New Roman" w:hAnsi="Times New Roman"/>
      <w:lang w:eastAsia="ja-JP"/>
    </w:rPr>
  </w:style>
  <w:style w:type="table" w:customStyle="1" w:styleId="TableGrid1">
    <w:name w:val="Table Grid1"/>
    <w:basedOn w:val="TableNormal"/>
    <w:next w:val="TableGrid"/>
    <w:rsid w:val="00D8249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83093">
      <w:bodyDiv w:val="1"/>
      <w:marLeft w:val="0"/>
      <w:marRight w:val="0"/>
      <w:marTop w:val="0"/>
      <w:marBottom w:val="0"/>
      <w:divBdr>
        <w:top w:val="none" w:sz="0" w:space="0" w:color="auto"/>
        <w:left w:val="none" w:sz="0" w:space="0" w:color="auto"/>
        <w:bottom w:val="none" w:sz="0" w:space="0" w:color="auto"/>
        <w:right w:val="none" w:sz="0" w:space="0" w:color="auto"/>
      </w:divBdr>
      <w:divsChild>
        <w:div w:id="108939317">
          <w:marLeft w:val="0"/>
          <w:marRight w:val="0"/>
          <w:marTop w:val="0"/>
          <w:marBottom w:val="0"/>
          <w:divBdr>
            <w:top w:val="none" w:sz="0" w:space="0" w:color="auto"/>
            <w:left w:val="none" w:sz="0" w:space="0" w:color="auto"/>
            <w:bottom w:val="none" w:sz="0" w:space="0" w:color="auto"/>
            <w:right w:val="none" w:sz="0" w:space="0" w:color="auto"/>
          </w:divBdr>
        </w:div>
      </w:divsChild>
    </w:div>
    <w:div w:id="1086657642">
      <w:bodyDiv w:val="1"/>
      <w:marLeft w:val="0"/>
      <w:marRight w:val="0"/>
      <w:marTop w:val="0"/>
      <w:marBottom w:val="0"/>
      <w:divBdr>
        <w:top w:val="none" w:sz="0" w:space="0" w:color="auto"/>
        <w:left w:val="none" w:sz="0" w:space="0" w:color="auto"/>
        <w:bottom w:val="none" w:sz="0" w:space="0" w:color="auto"/>
        <w:right w:val="none" w:sz="0" w:space="0" w:color="auto"/>
      </w:divBdr>
      <w:divsChild>
        <w:div w:id="1111125478">
          <w:marLeft w:val="0"/>
          <w:marRight w:val="0"/>
          <w:marTop w:val="0"/>
          <w:marBottom w:val="0"/>
          <w:divBdr>
            <w:top w:val="none" w:sz="0" w:space="0" w:color="auto"/>
            <w:left w:val="none" w:sz="0" w:space="0" w:color="auto"/>
            <w:bottom w:val="none" w:sz="0" w:space="0" w:color="auto"/>
            <w:right w:val="none" w:sz="0" w:space="0" w:color="auto"/>
          </w:divBdr>
        </w:div>
      </w:divsChild>
    </w:div>
    <w:div w:id="1163081297">
      <w:bodyDiv w:val="1"/>
      <w:marLeft w:val="0"/>
      <w:marRight w:val="0"/>
      <w:marTop w:val="0"/>
      <w:marBottom w:val="0"/>
      <w:divBdr>
        <w:top w:val="none" w:sz="0" w:space="0" w:color="auto"/>
        <w:left w:val="none" w:sz="0" w:space="0" w:color="auto"/>
        <w:bottom w:val="none" w:sz="0" w:space="0" w:color="auto"/>
        <w:right w:val="none" w:sz="0" w:space="0" w:color="auto"/>
      </w:divBdr>
      <w:divsChild>
        <w:div w:id="208760838">
          <w:marLeft w:val="0"/>
          <w:marRight w:val="0"/>
          <w:marTop w:val="0"/>
          <w:marBottom w:val="0"/>
          <w:divBdr>
            <w:top w:val="none" w:sz="0" w:space="0" w:color="auto"/>
            <w:left w:val="none" w:sz="0" w:space="0" w:color="auto"/>
            <w:bottom w:val="none" w:sz="0" w:space="0" w:color="auto"/>
            <w:right w:val="none" w:sz="0" w:space="0" w:color="auto"/>
          </w:divBdr>
        </w:div>
      </w:divsChild>
    </w:div>
    <w:div w:id="1206530152">
      <w:bodyDiv w:val="1"/>
      <w:marLeft w:val="0"/>
      <w:marRight w:val="0"/>
      <w:marTop w:val="0"/>
      <w:marBottom w:val="0"/>
      <w:divBdr>
        <w:top w:val="none" w:sz="0" w:space="0" w:color="auto"/>
        <w:left w:val="none" w:sz="0" w:space="0" w:color="auto"/>
        <w:bottom w:val="none" w:sz="0" w:space="0" w:color="auto"/>
        <w:right w:val="none" w:sz="0" w:space="0" w:color="auto"/>
      </w:divBdr>
      <w:divsChild>
        <w:div w:id="794372838">
          <w:marLeft w:val="0"/>
          <w:marRight w:val="0"/>
          <w:marTop w:val="0"/>
          <w:marBottom w:val="0"/>
          <w:divBdr>
            <w:top w:val="none" w:sz="0" w:space="0" w:color="auto"/>
            <w:left w:val="none" w:sz="0" w:space="0" w:color="auto"/>
            <w:bottom w:val="none" w:sz="0" w:space="0" w:color="auto"/>
            <w:right w:val="none" w:sz="0" w:space="0" w:color="auto"/>
          </w:divBdr>
        </w:div>
      </w:divsChild>
    </w:div>
    <w:div w:id="1282414439">
      <w:bodyDiv w:val="1"/>
      <w:marLeft w:val="0"/>
      <w:marRight w:val="0"/>
      <w:marTop w:val="0"/>
      <w:marBottom w:val="0"/>
      <w:divBdr>
        <w:top w:val="none" w:sz="0" w:space="0" w:color="auto"/>
        <w:left w:val="none" w:sz="0" w:space="0" w:color="auto"/>
        <w:bottom w:val="none" w:sz="0" w:space="0" w:color="auto"/>
        <w:right w:val="none" w:sz="0" w:space="0" w:color="auto"/>
      </w:divBdr>
      <w:divsChild>
        <w:div w:id="380054743">
          <w:marLeft w:val="0"/>
          <w:marRight w:val="0"/>
          <w:marTop w:val="0"/>
          <w:marBottom w:val="0"/>
          <w:divBdr>
            <w:top w:val="none" w:sz="0" w:space="0" w:color="auto"/>
            <w:left w:val="none" w:sz="0" w:space="0" w:color="auto"/>
            <w:bottom w:val="none" w:sz="0" w:space="0" w:color="auto"/>
            <w:right w:val="none" w:sz="0" w:space="0" w:color="auto"/>
          </w:divBdr>
        </w:div>
      </w:divsChild>
    </w:div>
    <w:div w:id="1728795392">
      <w:bodyDiv w:val="1"/>
      <w:marLeft w:val="0"/>
      <w:marRight w:val="0"/>
      <w:marTop w:val="0"/>
      <w:marBottom w:val="0"/>
      <w:divBdr>
        <w:top w:val="none" w:sz="0" w:space="0" w:color="auto"/>
        <w:left w:val="none" w:sz="0" w:space="0" w:color="auto"/>
        <w:bottom w:val="none" w:sz="0" w:space="0" w:color="auto"/>
        <w:right w:val="none" w:sz="0" w:space="0" w:color="auto"/>
      </w:divBdr>
      <w:divsChild>
        <w:div w:id="12333468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FF0E8-0EB6-4C5B-8976-39B408EFE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673C6A6-EC81-4DB3-8AE3-7A8933385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4941</TotalTime>
  <Pages>5</Pages>
  <Words>2359</Words>
  <Characters>12505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14835</CharactersWithSpaces>
  <SharedDoc>false</SharedDoc>
  <HLinks>
    <vt:vector size="66" baseType="variant">
      <vt:variant>
        <vt:i4>1245233</vt:i4>
      </vt:variant>
      <vt:variant>
        <vt:i4>41</vt:i4>
      </vt:variant>
      <vt:variant>
        <vt:i4>0</vt:i4>
      </vt:variant>
      <vt:variant>
        <vt:i4>5</vt:i4>
      </vt:variant>
      <vt:variant>
        <vt:lpwstr/>
      </vt:variant>
      <vt:variant>
        <vt:lpwstr>_Toc61441829</vt:lpwstr>
      </vt:variant>
      <vt:variant>
        <vt:i4>1179697</vt:i4>
      </vt:variant>
      <vt:variant>
        <vt:i4>38</vt:i4>
      </vt:variant>
      <vt:variant>
        <vt:i4>0</vt:i4>
      </vt:variant>
      <vt:variant>
        <vt:i4>5</vt:i4>
      </vt:variant>
      <vt:variant>
        <vt:lpwstr/>
      </vt:variant>
      <vt:variant>
        <vt:lpwstr>_Toc61441828</vt:lpwstr>
      </vt:variant>
      <vt:variant>
        <vt:i4>1900593</vt:i4>
      </vt:variant>
      <vt:variant>
        <vt:i4>35</vt:i4>
      </vt:variant>
      <vt:variant>
        <vt:i4>0</vt:i4>
      </vt:variant>
      <vt:variant>
        <vt:i4>5</vt:i4>
      </vt:variant>
      <vt:variant>
        <vt:lpwstr/>
      </vt:variant>
      <vt:variant>
        <vt:lpwstr>_Toc61441827</vt:lpwstr>
      </vt:variant>
      <vt:variant>
        <vt:i4>1835057</vt:i4>
      </vt:variant>
      <vt:variant>
        <vt:i4>32</vt:i4>
      </vt:variant>
      <vt:variant>
        <vt:i4>0</vt:i4>
      </vt:variant>
      <vt:variant>
        <vt:i4>5</vt:i4>
      </vt:variant>
      <vt:variant>
        <vt:lpwstr/>
      </vt:variant>
      <vt:variant>
        <vt:lpwstr>_Toc61441826</vt:lpwstr>
      </vt:variant>
      <vt:variant>
        <vt:i4>2031665</vt:i4>
      </vt:variant>
      <vt:variant>
        <vt:i4>29</vt:i4>
      </vt:variant>
      <vt:variant>
        <vt:i4>0</vt:i4>
      </vt:variant>
      <vt:variant>
        <vt:i4>5</vt:i4>
      </vt:variant>
      <vt:variant>
        <vt:lpwstr/>
      </vt:variant>
      <vt:variant>
        <vt:lpwstr>_Toc61441825</vt:lpwstr>
      </vt:variant>
      <vt:variant>
        <vt:i4>1966129</vt:i4>
      </vt:variant>
      <vt:variant>
        <vt:i4>26</vt:i4>
      </vt:variant>
      <vt:variant>
        <vt:i4>0</vt:i4>
      </vt:variant>
      <vt:variant>
        <vt:i4>5</vt:i4>
      </vt:variant>
      <vt:variant>
        <vt:lpwstr/>
      </vt:variant>
      <vt:variant>
        <vt:lpwstr>_Toc61441824</vt:lpwstr>
      </vt:variant>
      <vt:variant>
        <vt:i4>1572913</vt:i4>
      </vt:variant>
      <vt:variant>
        <vt:i4>23</vt:i4>
      </vt:variant>
      <vt:variant>
        <vt:i4>0</vt:i4>
      </vt:variant>
      <vt:variant>
        <vt:i4>5</vt:i4>
      </vt:variant>
      <vt:variant>
        <vt:lpwstr/>
      </vt:variant>
      <vt:variant>
        <vt:lpwstr>_Toc61441822</vt:lpwstr>
      </vt:variant>
      <vt:variant>
        <vt:i4>1769521</vt:i4>
      </vt:variant>
      <vt:variant>
        <vt:i4>20</vt:i4>
      </vt:variant>
      <vt:variant>
        <vt:i4>0</vt:i4>
      </vt:variant>
      <vt:variant>
        <vt:i4>5</vt:i4>
      </vt:variant>
      <vt:variant>
        <vt:lpwstr/>
      </vt:variant>
      <vt:variant>
        <vt:lpwstr>_Toc61441821</vt:lpwstr>
      </vt:variant>
      <vt:variant>
        <vt:i4>1703985</vt:i4>
      </vt:variant>
      <vt:variant>
        <vt:i4>17</vt:i4>
      </vt:variant>
      <vt:variant>
        <vt:i4>0</vt:i4>
      </vt:variant>
      <vt:variant>
        <vt:i4>5</vt:i4>
      </vt:variant>
      <vt:variant>
        <vt:lpwstr/>
      </vt:variant>
      <vt:variant>
        <vt:lpwstr>_Toc61441820</vt:lpwstr>
      </vt:variant>
      <vt:variant>
        <vt:i4>1900594</vt:i4>
      </vt:variant>
      <vt:variant>
        <vt:i4>14</vt:i4>
      </vt:variant>
      <vt:variant>
        <vt:i4>0</vt:i4>
      </vt:variant>
      <vt:variant>
        <vt:i4>5</vt:i4>
      </vt:variant>
      <vt:variant>
        <vt:lpwstr/>
      </vt:variant>
      <vt:variant>
        <vt:lpwstr>_Toc61441817</vt:lpwstr>
      </vt:variant>
      <vt:variant>
        <vt:i4>1835058</vt:i4>
      </vt:variant>
      <vt:variant>
        <vt:i4>11</vt:i4>
      </vt:variant>
      <vt:variant>
        <vt:i4>0</vt:i4>
      </vt:variant>
      <vt:variant>
        <vt:i4>5</vt:i4>
      </vt:variant>
      <vt:variant>
        <vt:lpwstr/>
      </vt:variant>
      <vt:variant>
        <vt:lpwstr>_Toc61441816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Jan Christoffersson</cp:lastModifiedBy>
  <cp:revision>168</cp:revision>
  <cp:lastPrinted>2008-01-31T16:09:00Z</cp:lastPrinted>
  <dcterms:created xsi:type="dcterms:W3CDTF">2021-01-04T12:39:00Z</dcterms:created>
  <dcterms:modified xsi:type="dcterms:W3CDTF">2021-01-14T19:14:00Z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